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E06" w:rsidRPr="004D36E1" w:rsidRDefault="00D75E06" w:rsidP="00AA3B37">
      <w:pPr>
        <w:jc w:val="center"/>
        <w:rPr>
          <w:b/>
          <w:sz w:val="32"/>
          <w:szCs w:val="32"/>
        </w:rPr>
      </w:pPr>
    </w:p>
    <w:p w:rsidR="00D75E06" w:rsidRDefault="00D75E06" w:rsidP="004A6509">
      <w:pPr>
        <w:jc w:val="center"/>
      </w:pPr>
      <w:r>
        <w:rPr>
          <w:b/>
          <w:sz w:val="28"/>
          <w:szCs w:val="28"/>
        </w:rPr>
        <w:t xml:space="preserve">     </w:t>
      </w:r>
    </w:p>
    <w:p w:rsidR="00D75E06" w:rsidRPr="0059534A" w:rsidRDefault="00D75E06">
      <w:pPr>
        <w:rPr>
          <w:b/>
        </w:rPr>
      </w:pPr>
      <w:r w:rsidRPr="0059534A">
        <w:rPr>
          <w:b/>
        </w:rPr>
        <w:t>Scope</w:t>
      </w:r>
      <w:r w:rsidR="00A33DAD">
        <w:rPr>
          <w:b/>
        </w:rPr>
        <w:t xml:space="preserve"> and Structure</w:t>
      </w:r>
      <w:r w:rsidRPr="0059534A">
        <w:rPr>
          <w:b/>
        </w:rPr>
        <w:t xml:space="preserve"> </w:t>
      </w:r>
    </w:p>
    <w:p w:rsidR="00D75E06" w:rsidRPr="00DD07BB" w:rsidRDefault="00D75E06" w:rsidP="00D52585">
      <w:pPr>
        <w:spacing w:before="120"/>
      </w:pPr>
      <w:r>
        <w:t>This is the biennia</w:t>
      </w:r>
      <w:r w:rsidR="00A33DAD">
        <w:t xml:space="preserve">l work plan as set forth </w:t>
      </w:r>
      <w:r w:rsidR="00A33DAD" w:rsidRPr="00DD07BB">
        <w:t>in Article VI of the Alaska RRT Charter</w:t>
      </w:r>
      <w:r w:rsidRPr="00DD07BB">
        <w:t xml:space="preserve">.  It outlines planned work over the two-year period for the Alaska RRT </w:t>
      </w:r>
      <w:r w:rsidR="00A33DAD" w:rsidRPr="00DD07BB">
        <w:t xml:space="preserve">(ARRT) </w:t>
      </w:r>
      <w:r w:rsidRPr="00DD07BB">
        <w:t>and its work groups</w:t>
      </w:r>
      <w:r w:rsidR="00E90A59" w:rsidRPr="00DD07BB">
        <w:t xml:space="preserve"> and offers priorities for consideration by </w:t>
      </w:r>
      <w:r w:rsidR="008B77B3" w:rsidRPr="00CA4BDC">
        <w:t xml:space="preserve">On-Scene Coordinators </w:t>
      </w:r>
      <w:r w:rsidR="008B77B3">
        <w:t>(</w:t>
      </w:r>
      <w:r w:rsidR="00E90A59" w:rsidRPr="00DD07BB">
        <w:t>OSC</w:t>
      </w:r>
      <w:r w:rsidR="008B77B3">
        <w:t>)</w:t>
      </w:r>
      <w:r w:rsidR="00E90A59" w:rsidRPr="00DD07BB">
        <w:t xml:space="preserve"> and subarea </w:t>
      </w:r>
      <w:r w:rsidR="00E90A59" w:rsidRPr="00CA4BDC">
        <w:t>committees</w:t>
      </w:r>
      <w:r w:rsidR="00A25C85" w:rsidRPr="00CA4BDC">
        <w:t>, and area planning managers</w:t>
      </w:r>
      <w:r w:rsidR="00E90A59" w:rsidRPr="00CA4BDC">
        <w:t>.</w:t>
      </w:r>
      <w:r w:rsidR="00E90A59" w:rsidRPr="00DD07BB">
        <w:t xml:space="preserve">  </w:t>
      </w:r>
      <w:r w:rsidRPr="00DD07BB">
        <w:t>This is a living document subject to the direction of the co-chairs</w:t>
      </w:r>
      <w:r w:rsidR="004A3C7D" w:rsidRPr="00DD07BB">
        <w:t>, input from ARRT members,</w:t>
      </w:r>
      <w:r w:rsidRPr="00DD07BB">
        <w:t xml:space="preserve"> and the needs of the OSCs.</w:t>
      </w:r>
    </w:p>
    <w:p w:rsidR="00A33DAD" w:rsidRDefault="00A33DAD" w:rsidP="00D52585">
      <w:pPr>
        <w:spacing w:before="120"/>
      </w:pPr>
      <w:r w:rsidRPr="00DD07BB">
        <w:t xml:space="preserve">Article III of the Alaska RRT Charter describes the ARRT’s </w:t>
      </w:r>
      <w:r w:rsidRPr="003D5718">
        <w:rPr>
          <w:b/>
        </w:rPr>
        <w:t>responsibilities</w:t>
      </w:r>
      <w:r w:rsidRPr="00DD07BB">
        <w:t xml:space="preserve"> as articulated in the National Contingency Plan (NCP) at section 300.115.  </w:t>
      </w:r>
      <w:r w:rsidRPr="00DD07BB">
        <w:rPr>
          <w:b/>
        </w:rPr>
        <w:t>Goals</w:t>
      </w:r>
      <w:r w:rsidRPr="00DD07BB">
        <w:t xml:space="preserve"> expressed herein support those overall responsibilities, but account for the unique demands and complexities of the Alaska region. </w:t>
      </w:r>
      <w:r w:rsidRPr="00DD07BB">
        <w:rPr>
          <w:b/>
        </w:rPr>
        <w:t xml:space="preserve"> Priorities</w:t>
      </w:r>
      <w:r w:rsidRPr="00DD07BB">
        <w:t xml:space="preserve"> are intended to advance, </w:t>
      </w:r>
      <w:r w:rsidR="002F5548" w:rsidRPr="00DD07BB">
        <w:t xml:space="preserve">in whole or part </w:t>
      </w:r>
      <w:r w:rsidRPr="00DD07BB">
        <w:t>the Goals, but may also reflect more im</w:t>
      </w:r>
      <w:r w:rsidR="002F5548" w:rsidRPr="00DD07BB">
        <w:t xml:space="preserve">mediate needs or requirements.  </w:t>
      </w:r>
      <w:r w:rsidR="002F5548" w:rsidRPr="00DD07BB">
        <w:rPr>
          <w:b/>
        </w:rPr>
        <w:t>Tasks</w:t>
      </w:r>
      <w:r w:rsidR="002F5548" w:rsidRPr="00DD07BB">
        <w:t xml:space="preserve"> are specific, measurable, time-based initiatives</w:t>
      </w:r>
      <w:r w:rsidR="00487B9B" w:rsidRPr="00DD07BB">
        <w:t xml:space="preserve"> usually assigned to work groups (i.e., committees and task forces),</w:t>
      </w:r>
      <w:r w:rsidR="002F5548" w:rsidRPr="00DD07BB">
        <w:t xml:space="preserve"> which </w:t>
      </w:r>
      <w:r w:rsidR="008B77B3">
        <w:t>advance P</w:t>
      </w:r>
      <w:r w:rsidR="002F5548" w:rsidRPr="00DD07BB">
        <w:t>riorities.</w:t>
      </w:r>
      <w:r w:rsidR="002F5548">
        <w:t xml:space="preserve">  </w:t>
      </w:r>
    </w:p>
    <w:p w:rsidR="002F5548" w:rsidRDefault="002F5548" w:rsidP="002F5548">
      <w:pPr>
        <w:spacing w:before="120"/>
        <w:jc w:val="center"/>
      </w:pPr>
    </w:p>
    <w:p w:rsidR="00A33DAD" w:rsidRDefault="002F5548" w:rsidP="002F5548">
      <w:pPr>
        <w:spacing w:before="120"/>
        <w:jc w:val="center"/>
      </w:pPr>
      <w:r>
        <w:rPr>
          <w:noProof/>
        </w:rPr>
        <w:drawing>
          <wp:inline distT="0" distB="0" distL="0" distR="0">
            <wp:extent cx="3574746" cy="1057701"/>
            <wp:effectExtent l="0" t="38100" r="26035"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75E06" w:rsidRDefault="00D75E06"/>
    <w:p w:rsidR="00D75E06" w:rsidRDefault="00D75E06">
      <w:pPr>
        <w:rPr>
          <w:b/>
        </w:rPr>
      </w:pPr>
      <w:r w:rsidRPr="007E3941">
        <w:rPr>
          <w:b/>
        </w:rPr>
        <w:t>Goals</w:t>
      </w:r>
    </w:p>
    <w:p w:rsidR="00D75E06" w:rsidRDefault="00D75E06">
      <w:pPr>
        <w:rPr>
          <w:b/>
        </w:rPr>
      </w:pPr>
    </w:p>
    <w:p w:rsidR="00D75E06" w:rsidRPr="00CA4BDC" w:rsidRDefault="002F5548">
      <w:r w:rsidRPr="00CA4BDC">
        <w:t xml:space="preserve">Goals </w:t>
      </w:r>
      <w:r w:rsidR="00D75E06" w:rsidRPr="00CA4BDC">
        <w:t xml:space="preserve">represent a best case </w:t>
      </w:r>
      <w:r w:rsidR="00DB32B1" w:rsidRPr="00CA4BDC">
        <w:t>long-term</w:t>
      </w:r>
      <w:r w:rsidR="00D75E06" w:rsidRPr="00CA4BDC">
        <w:t xml:space="preserve"> </w:t>
      </w:r>
      <w:r w:rsidR="00DB32B1" w:rsidRPr="00CA4BDC">
        <w:t xml:space="preserve">shared </w:t>
      </w:r>
      <w:r w:rsidR="00D75E06" w:rsidRPr="00CA4BDC">
        <w:t>vision</w:t>
      </w:r>
      <w:r w:rsidR="00DB32B1" w:rsidRPr="00CA4BDC">
        <w:t xml:space="preserve"> – spanning beyond two years</w:t>
      </w:r>
      <w:r w:rsidR="00D75E06" w:rsidRPr="00CA4BDC">
        <w:t>, but are subject to external factors and resou</w:t>
      </w:r>
      <w:r w:rsidR="00DB32B1" w:rsidRPr="00CA4BDC">
        <w:t xml:space="preserve">rce and personnel availability.  </w:t>
      </w:r>
      <w:r w:rsidRPr="00CA4BDC">
        <w:t xml:space="preserve">The goals are not prioritized.  </w:t>
      </w:r>
      <w:r w:rsidR="00D75E06" w:rsidRPr="00CA4BDC">
        <w:t>The ARRT shall:</w:t>
      </w:r>
    </w:p>
    <w:p w:rsidR="00D75E06" w:rsidRPr="00CA4BDC" w:rsidRDefault="00D75E06" w:rsidP="00D52585">
      <w:pPr>
        <w:pStyle w:val="ListParagraph"/>
        <w:numPr>
          <w:ilvl w:val="0"/>
          <w:numId w:val="3"/>
        </w:numPr>
        <w:spacing w:before="120"/>
      </w:pPr>
      <w:r w:rsidRPr="00CA4BDC">
        <w:t>Continuously improve the Federal and State capabilities and plans to respond to an oil or hazardous substance incident.</w:t>
      </w:r>
    </w:p>
    <w:p w:rsidR="00D75E06" w:rsidRPr="00CA4BDC" w:rsidRDefault="00D75E06" w:rsidP="0021615D">
      <w:pPr>
        <w:pStyle w:val="ListParagraph"/>
      </w:pPr>
    </w:p>
    <w:p w:rsidR="00D75E06" w:rsidRPr="00CA4BDC" w:rsidRDefault="00D75E06" w:rsidP="0021615D">
      <w:pPr>
        <w:pStyle w:val="ListParagraph"/>
        <w:numPr>
          <w:ilvl w:val="0"/>
          <w:numId w:val="3"/>
        </w:numPr>
      </w:pPr>
      <w:r w:rsidRPr="00CA4BDC">
        <w:t xml:space="preserve">Enhance area planning and spill preparedness to keep pace with the expansion of oil exploration and production activities throughout remote Alaska, </w:t>
      </w:r>
      <w:r w:rsidRPr="00CA4BDC">
        <w:rPr>
          <w:rFonts w:cs="Tahoma"/>
          <w:color w:val="000000"/>
        </w:rPr>
        <w:t xml:space="preserve">with particular emphasis on </w:t>
      </w:r>
      <w:r w:rsidRPr="00CA4BDC">
        <w:t>the Arctic.</w:t>
      </w:r>
    </w:p>
    <w:p w:rsidR="00D75E06" w:rsidRPr="00CA4BDC" w:rsidRDefault="00D75E06" w:rsidP="007571F8">
      <w:pPr>
        <w:pStyle w:val="ListParagraph"/>
      </w:pPr>
    </w:p>
    <w:p w:rsidR="00D75E06" w:rsidRPr="00CA4BDC" w:rsidRDefault="00D75E06" w:rsidP="0021615D">
      <w:pPr>
        <w:pStyle w:val="ListParagraph"/>
        <w:numPr>
          <w:ilvl w:val="0"/>
          <w:numId w:val="3"/>
        </w:numPr>
      </w:pPr>
      <w:r w:rsidRPr="00CA4BDC">
        <w:t xml:space="preserve">Enhance readiness of Alaska RRT members to support </w:t>
      </w:r>
      <w:r w:rsidR="008B77B3">
        <w:t>OSCs</w:t>
      </w:r>
      <w:r w:rsidRPr="00CA4BDC">
        <w:t xml:space="preserve"> when called upon to respond to an incident.</w:t>
      </w:r>
    </w:p>
    <w:p w:rsidR="00D75E06" w:rsidRPr="00CA4BDC" w:rsidRDefault="00D75E06" w:rsidP="0021615D">
      <w:pPr>
        <w:pStyle w:val="ListParagraph"/>
      </w:pPr>
    </w:p>
    <w:p w:rsidR="00D75E06" w:rsidRPr="00CA4BDC" w:rsidRDefault="00DB32B1" w:rsidP="0021615D">
      <w:pPr>
        <w:pStyle w:val="ListParagraph"/>
        <w:numPr>
          <w:ilvl w:val="0"/>
          <w:numId w:val="3"/>
        </w:numPr>
      </w:pPr>
      <w:r w:rsidRPr="00CA4BDC">
        <w:t>Provide a forum to e</w:t>
      </w:r>
      <w:r w:rsidR="00D75E06" w:rsidRPr="00CA4BDC">
        <w:t>xchange information on spill response technologies and procedures.</w:t>
      </w:r>
    </w:p>
    <w:p w:rsidR="00D75E06" w:rsidRPr="00CA4BDC" w:rsidRDefault="00D75E06" w:rsidP="00135AEC">
      <w:pPr>
        <w:pStyle w:val="ListParagraph"/>
      </w:pPr>
    </w:p>
    <w:p w:rsidR="00D75E06" w:rsidRPr="00CA4BDC" w:rsidRDefault="00D75E06" w:rsidP="0021615D">
      <w:pPr>
        <w:pStyle w:val="ListParagraph"/>
        <w:numPr>
          <w:ilvl w:val="0"/>
          <w:numId w:val="3"/>
        </w:numPr>
      </w:pPr>
      <w:r w:rsidRPr="00CA4BDC">
        <w:t>Prioritize and coordinate the ARRT’s combined resources and funding for optimum outcomes.</w:t>
      </w:r>
    </w:p>
    <w:p w:rsidR="00D75E06" w:rsidRPr="00CA4BDC" w:rsidRDefault="00D75E06" w:rsidP="003D3E1B">
      <w:pPr>
        <w:pStyle w:val="ListParagraph"/>
      </w:pPr>
    </w:p>
    <w:p w:rsidR="00D75E06" w:rsidRPr="00CA4BDC" w:rsidRDefault="00D75E06" w:rsidP="0021615D">
      <w:pPr>
        <w:pStyle w:val="ListParagraph"/>
        <w:numPr>
          <w:ilvl w:val="0"/>
          <w:numId w:val="3"/>
        </w:numPr>
      </w:pPr>
      <w:r w:rsidRPr="00CA4BDC">
        <w:lastRenderedPageBreak/>
        <w:t>Enhance outreach to and seek participation by federally recognized tribes in spill preparedness and response planning</w:t>
      </w:r>
      <w:r w:rsidR="004A3C7D" w:rsidRPr="00CA4BDC">
        <w:t>, including membership in the ARRT</w:t>
      </w:r>
      <w:r w:rsidRPr="00CA4BDC">
        <w:t>.</w:t>
      </w:r>
    </w:p>
    <w:p w:rsidR="00D75E06" w:rsidRDefault="00D75E06" w:rsidP="009273DC">
      <w:pPr>
        <w:pStyle w:val="ListParagraph"/>
      </w:pPr>
    </w:p>
    <w:p w:rsidR="00D75E06" w:rsidRDefault="00D75E06" w:rsidP="009273DC">
      <w:pPr>
        <w:pStyle w:val="ListParagraph"/>
        <w:numPr>
          <w:ilvl w:val="0"/>
          <w:numId w:val="3"/>
        </w:numPr>
      </w:pPr>
      <w:r>
        <w:t>Seek involvement of other stakeholders and all interested parties</w:t>
      </w:r>
      <w:r w:rsidRPr="009273DC">
        <w:t xml:space="preserve"> </w:t>
      </w:r>
      <w:r>
        <w:t>in spill preparedness and response planning.</w:t>
      </w:r>
    </w:p>
    <w:p w:rsidR="00D75E06" w:rsidRDefault="00D75E06" w:rsidP="004264E5">
      <w:pPr>
        <w:pStyle w:val="ListParagraph"/>
      </w:pPr>
    </w:p>
    <w:p w:rsidR="00D75E06" w:rsidRPr="00CA4BDC" w:rsidRDefault="00D75E06" w:rsidP="004264E5">
      <w:pPr>
        <w:pStyle w:val="ListParagraph"/>
        <w:numPr>
          <w:ilvl w:val="0"/>
          <w:numId w:val="3"/>
        </w:numPr>
      </w:pPr>
      <w:r w:rsidRPr="00CA4BDC">
        <w:t xml:space="preserve">Provide guidance </w:t>
      </w:r>
      <w:r w:rsidR="004A3C7D" w:rsidRPr="00CA4BDC">
        <w:t xml:space="preserve">and support </w:t>
      </w:r>
      <w:r w:rsidRPr="00CA4BDC">
        <w:t xml:space="preserve">to the OSCs on spill response and subarea planning.  The primary emphasis will be on the significant increased projections for shipping through the </w:t>
      </w:r>
      <w:r w:rsidR="004A3C7D" w:rsidRPr="00CA4BDC">
        <w:t xml:space="preserve">Bering Strait, </w:t>
      </w:r>
      <w:r w:rsidRPr="00CA4BDC">
        <w:t xml:space="preserve">circumpolar route, Great Circle </w:t>
      </w:r>
      <w:r w:rsidR="00E26366">
        <w:t>R</w:t>
      </w:r>
      <w:r w:rsidRPr="00CA4BDC">
        <w:t xml:space="preserve">oute, and southeast Alaska.  </w:t>
      </w:r>
    </w:p>
    <w:p w:rsidR="00D75E06" w:rsidRDefault="00D75E06" w:rsidP="00CA4BDC"/>
    <w:p w:rsidR="00D75E06" w:rsidRDefault="00D75E06" w:rsidP="004264E5">
      <w:pPr>
        <w:pStyle w:val="ListParagraph"/>
        <w:numPr>
          <w:ilvl w:val="0"/>
          <w:numId w:val="3"/>
        </w:numPr>
      </w:pPr>
      <w:r>
        <w:t>Provide</w:t>
      </w:r>
      <w:r w:rsidRPr="005D631B">
        <w:t xml:space="preserve"> guidance and information to Alaska </w:t>
      </w:r>
      <w:r w:rsidRPr="00CA4BDC">
        <w:t xml:space="preserve">OSCs </w:t>
      </w:r>
      <w:r w:rsidR="00A25C85" w:rsidRPr="00CA4BDC">
        <w:t xml:space="preserve">and agency planners </w:t>
      </w:r>
      <w:r w:rsidRPr="00CA4BDC">
        <w:t>regarding</w:t>
      </w:r>
      <w:r w:rsidRPr="005D631B">
        <w:t xml:space="preserve"> lessons learned from major national spills.   Guidance and information from th</w:t>
      </w:r>
      <w:r>
        <w:t>e major pipeline spills in the L</w:t>
      </w:r>
      <w:r w:rsidRPr="005D631B">
        <w:t xml:space="preserve">ower 48 </w:t>
      </w:r>
      <w:r w:rsidR="008B77B3">
        <w:t xml:space="preserve">may </w:t>
      </w:r>
      <w:r w:rsidRPr="005D631B">
        <w:t>have particular relevance to watershed spill planning in Alaska</w:t>
      </w:r>
      <w:r>
        <w:t>.</w:t>
      </w:r>
      <w:r w:rsidRPr="005D631B">
        <w:t xml:space="preserve"> </w:t>
      </w:r>
    </w:p>
    <w:p w:rsidR="00D75E06" w:rsidRDefault="00D75E06" w:rsidP="003E6EAA">
      <w:pPr>
        <w:pStyle w:val="ListParagraph"/>
        <w:ind w:left="0"/>
      </w:pPr>
    </w:p>
    <w:p w:rsidR="00D75E06" w:rsidRDefault="00D75E06" w:rsidP="004264E5">
      <w:pPr>
        <w:pStyle w:val="ListParagraph"/>
        <w:numPr>
          <w:ilvl w:val="0"/>
          <w:numId w:val="3"/>
        </w:numPr>
      </w:pPr>
      <w:r>
        <w:t>P</w:t>
      </w:r>
      <w:r w:rsidRPr="005D631B">
        <w:t xml:space="preserve">rovide guidance and information </w:t>
      </w:r>
      <w:r>
        <w:t>on</w:t>
      </w:r>
      <w:r w:rsidRPr="005D631B">
        <w:t xml:space="preserve"> international developments in spill preparedness and response, federal rule-makings, federal R&amp;D efforts and </w:t>
      </w:r>
      <w:r>
        <w:t xml:space="preserve">topics relevant to </w:t>
      </w:r>
      <w:smartTag w:uri="urn:schemas-microsoft-com:office:smarttags" w:element="place">
        <w:smartTag w:uri="urn:schemas-microsoft-com:office:smarttags" w:element="State">
          <w:r>
            <w:t>Alaska</w:t>
          </w:r>
        </w:smartTag>
      </w:smartTag>
      <w:r>
        <w:t xml:space="preserve"> from </w:t>
      </w:r>
      <w:r w:rsidRPr="005D631B">
        <w:t xml:space="preserve">major spill conferences.  </w:t>
      </w:r>
      <w:r>
        <w:t xml:space="preserve">Multilateral agreements under development for the Arctic as well as bilateral agreements will be reported with consideration of how they affect operations in Alaska. </w:t>
      </w:r>
      <w:r w:rsidRPr="005D631B">
        <w:t xml:space="preserve"> </w:t>
      </w:r>
    </w:p>
    <w:p w:rsidR="00D75E06" w:rsidRDefault="00D75E06" w:rsidP="00B47049">
      <w:pPr>
        <w:pStyle w:val="ListParagraph"/>
      </w:pPr>
    </w:p>
    <w:p w:rsidR="00D75E06" w:rsidRDefault="0057156A" w:rsidP="004264E5">
      <w:pPr>
        <w:pStyle w:val="ListParagraph"/>
        <w:numPr>
          <w:ilvl w:val="0"/>
          <w:numId w:val="3"/>
        </w:numPr>
      </w:pPr>
      <w:r w:rsidRPr="00CA4BDC">
        <w:t>Identify best practices and policies from</w:t>
      </w:r>
      <w:r>
        <w:t xml:space="preserve"> </w:t>
      </w:r>
      <w:r w:rsidR="00D75E06" w:rsidRPr="00B06A3F">
        <w:t>other regions and</w:t>
      </w:r>
      <w:r w:rsidR="00D75E06" w:rsidRPr="005D631B">
        <w:t xml:space="preserve"> identify features or information that would be useful for improving area planning in Alaska.  </w:t>
      </w:r>
    </w:p>
    <w:p w:rsidR="00D75E06" w:rsidRDefault="00D75E06" w:rsidP="004264E5">
      <w:pPr>
        <w:pStyle w:val="ListParagraph"/>
      </w:pPr>
    </w:p>
    <w:p w:rsidR="00D75E06" w:rsidRDefault="00D75E06" w:rsidP="004264E5">
      <w:pPr>
        <w:pStyle w:val="ListParagraph"/>
        <w:numPr>
          <w:ilvl w:val="0"/>
          <w:numId w:val="3"/>
        </w:numPr>
      </w:pPr>
      <w:r>
        <w:t>P</w:t>
      </w:r>
      <w:r w:rsidRPr="005D631B">
        <w:t>rovide information and guidance on emerging technol</w:t>
      </w:r>
      <w:r>
        <w:t>ogies, industry preparedness &amp;</w:t>
      </w:r>
      <w:r w:rsidRPr="005D631B">
        <w:t xml:space="preserve"> new initiatives</w:t>
      </w:r>
      <w:r>
        <w:t xml:space="preserve">, and </w:t>
      </w:r>
      <w:r w:rsidRPr="005D631B">
        <w:t>other state or federal initiatives</w:t>
      </w:r>
      <w:r>
        <w:t xml:space="preserve"> (e.g., </w:t>
      </w:r>
      <w:r w:rsidRPr="005D631B">
        <w:t>vessel</w:t>
      </w:r>
      <w:r>
        <w:t xml:space="preserve"> of opportunity programs and 24-</w:t>
      </w:r>
      <w:r w:rsidRPr="005D631B">
        <w:t>hour cleanup capability</w:t>
      </w:r>
      <w:r>
        <w:t>)</w:t>
      </w:r>
      <w:r w:rsidRPr="005D631B">
        <w:t xml:space="preserve">.  </w:t>
      </w:r>
    </w:p>
    <w:p w:rsidR="00D75E06" w:rsidRDefault="00D75E06" w:rsidP="004264E5">
      <w:pPr>
        <w:pStyle w:val="ListParagraph"/>
      </w:pPr>
    </w:p>
    <w:p w:rsidR="00D75E06" w:rsidRDefault="00D75E06" w:rsidP="004264E5">
      <w:pPr>
        <w:pStyle w:val="ListParagraph"/>
        <w:numPr>
          <w:ilvl w:val="0"/>
          <w:numId w:val="3"/>
        </w:numPr>
      </w:pPr>
      <w:r>
        <w:t>A</w:t>
      </w:r>
      <w:r w:rsidRPr="005D631B">
        <w:t>dvocate for improvements to the response system for Alaska</w:t>
      </w:r>
      <w:r w:rsidR="0057156A">
        <w:t>.</w:t>
      </w:r>
      <w:r w:rsidRPr="005D631B">
        <w:t xml:space="preserve"> </w:t>
      </w:r>
    </w:p>
    <w:p w:rsidR="00D75E06" w:rsidRDefault="00D75E06" w:rsidP="002A5DAC">
      <w:pPr>
        <w:pStyle w:val="ListParagraph"/>
        <w:ind w:left="0"/>
      </w:pPr>
    </w:p>
    <w:p w:rsidR="00D75E06" w:rsidRDefault="00D75E06" w:rsidP="004264E5">
      <w:pPr>
        <w:pStyle w:val="ListParagraph"/>
        <w:numPr>
          <w:ilvl w:val="0"/>
          <w:numId w:val="3"/>
        </w:numPr>
      </w:pPr>
      <w:r>
        <w:t>A</w:t>
      </w:r>
      <w:r w:rsidRPr="005D631B">
        <w:t>dvocate for improvements in the national response system via the NRT</w:t>
      </w:r>
      <w:r>
        <w:t xml:space="preserve"> and report on developing initiatives such as the equipment surge project, SONS guideline updates, changes proposed for the National Response Framework, lessons learned from other key national incidents, procedures for retention of state response experts to fill ICS positions in major responses, and others.</w:t>
      </w:r>
      <w:r w:rsidRPr="005D631B">
        <w:t xml:space="preserve">  </w:t>
      </w:r>
    </w:p>
    <w:p w:rsidR="00521282" w:rsidRDefault="00521282" w:rsidP="00521282">
      <w:pPr>
        <w:pStyle w:val="ListParagraph"/>
        <w:ind w:left="0"/>
      </w:pPr>
    </w:p>
    <w:p w:rsidR="00521282" w:rsidRDefault="00521282" w:rsidP="004264E5">
      <w:pPr>
        <w:pStyle w:val="ListParagraph"/>
        <w:numPr>
          <w:ilvl w:val="0"/>
          <w:numId w:val="3"/>
        </w:numPr>
      </w:pPr>
      <w:r w:rsidRPr="00CA4BDC">
        <w:t>Encourage Alaska RRT members</w:t>
      </w:r>
      <w:r w:rsidR="00A25C85" w:rsidRPr="00CA4BDC">
        <w:t>,</w:t>
      </w:r>
      <w:r w:rsidRPr="00CA4BDC">
        <w:t xml:space="preserve"> On-Scene Coordinators</w:t>
      </w:r>
      <w:r w:rsidR="00A25C85" w:rsidRPr="00CA4BDC">
        <w:t xml:space="preserve">, </w:t>
      </w:r>
      <w:r w:rsidRPr="00CA4BDC">
        <w:t>and other responders</w:t>
      </w:r>
      <w:r w:rsidR="00F130F0" w:rsidRPr="00CA4BDC">
        <w:t xml:space="preserve"> </w:t>
      </w:r>
      <w:r w:rsidRPr="00CA4BDC">
        <w:t xml:space="preserve">to attend </w:t>
      </w:r>
      <w:r w:rsidR="0057156A" w:rsidRPr="00CA4BDC">
        <w:t xml:space="preserve">relevant </w:t>
      </w:r>
      <w:r w:rsidRPr="00CA4BDC">
        <w:t xml:space="preserve">training, as appropriate.   </w:t>
      </w:r>
    </w:p>
    <w:p w:rsidR="006543F1" w:rsidRDefault="006543F1">
      <w:pPr>
        <w:pStyle w:val="ListParagraph"/>
      </w:pPr>
    </w:p>
    <w:p w:rsidR="00576518" w:rsidRDefault="00576518" w:rsidP="004264E5">
      <w:pPr>
        <w:pStyle w:val="ListParagraph"/>
        <w:numPr>
          <w:ilvl w:val="0"/>
          <w:numId w:val="3"/>
        </w:numPr>
      </w:pPr>
      <w:r>
        <w:t>Track currency and status of federal, state, and industry pollution preparedness and response plans.</w:t>
      </w:r>
    </w:p>
    <w:p w:rsidR="006543F1" w:rsidRDefault="006543F1">
      <w:pPr>
        <w:pStyle w:val="ListParagraph"/>
      </w:pPr>
    </w:p>
    <w:p w:rsidR="006057E8" w:rsidRPr="00CA4BDC" w:rsidRDefault="00B90E92" w:rsidP="004264E5">
      <w:pPr>
        <w:pStyle w:val="ListParagraph"/>
        <w:numPr>
          <w:ilvl w:val="0"/>
          <w:numId w:val="3"/>
        </w:numPr>
      </w:pPr>
      <w:r w:rsidRPr="00B90E92">
        <w:t>Encourage greater subarea committee participation by federally-recognized tribes, industry,</w:t>
      </w:r>
      <w:r w:rsidR="006057E8" w:rsidRPr="00CA4BDC">
        <w:t xml:space="preserve"> NGOs and the public.</w:t>
      </w:r>
      <w:r w:rsidR="006057E8">
        <w:t xml:space="preserve">   </w:t>
      </w:r>
    </w:p>
    <w:p w:rsidR="00D75E06" w:rsidRPr="00CA4BDC" w:rsidRDefault="00D75E06"/>
    <w:p w:rsidR="00D75E06" w:rsidRPr="00CA4BDC" w:rsidRDefault="00C37AF5">
      <w:pPr>
        <w:rPr>
          <w:b/>
        </w:rPr>
      </w:pPr>
      <w:r w:rsidRPr="00CA4BDC">
        <w:rPr>
          <w:b/>
        </w:rPr>
        <w:t>Priorities</w:t>
      </w:r>
    </w:p>
    <w:p w:rsidR="00D75E06" w:rsidRPr="00CA4BDC" w:rsidRDefault="00CE2BB8" w:rsidP="00D52585">
      <w:pPr>
        <w:spacing w:before="120"/>
      </w:pPr>
      <w:r w:rsidRPr="00CA4BDC">
        <w:lastRenderedPageBreak/>
        <w:t>Priorities</w:t>
      </w:r>
      <w:r w:rsidR="00FB00B1" w:rsidRPr="00CA4BDC">
        <w:t xml:space="preserve"> are mea</w:t>
      </w:r>
      <w:r w:rsidR="0057156A" w:rsidRPr="00CA4BDC">
        <w:t>nt to advance, in whole or part</w:t>
      </w:r>
      <w:r w:rsidR="00FB00B1" w:rsidRPr="00CA4BDC">
        <w:t xml:space="preserve"> stated Goals, but may also reflect more immediate needs or requirements.  </w:t>
      </w:r>
      <w:r w:rsidR="00296F61" w:rsidRPr="00CA4BDC">
        <w:t>Priorities</w:t>
      </w:r>
      <w:r w:rsidR="00D75E06" w:rsidRPr="00CA4BDC">
        <w:t xml:space="preserve"> for the next </w:t>
      </w:r>
      <w:r w:rsidR="0057156A" w:rsidRPr="00CA4BDC">
        <w:t>two-</w:t>
      </w:r>
      <w:r w:rsidR="00D75E06" w:rsidRPr="00CA4BDC">
        <w:t xml:space="preserve">year period are: </w:t>
      </w:r>
    </w:p>
    <w:p w:rsidR="00D75E06" w:rsidRPr="00CA4BDC" w:rsidRDefault="00D75E06"/>
    <w:p w:rsidR="00034154" w:rsidRDefault="00034154" w:rsidP="000A16C8">
      <w:pPr>
        <w:pStyle w:val="ListParagraph"/>
        <w:numPr>
          <w:ilvl w:val="0"/>
          <w:numId w:val="4"/>
        </w:numPr>
        <w:ind w:left="720"/>
      </w:pPr>
      <w:r>
        <w:br/>
      </w:r>
    </w:p>
    <w:p w:rsidR="00044546" w:rsidRDefault="009A3B8C" w:rsidP="000A16C8">
      <w:pPr>
        <w:pStyle w:val="ListParagraph"/>
        <w:numPr>
          <w:ilvl w:val="0"/>
          <w:numId w:val="4"/>
        </w:numPr>
        <w:ind w:left="720"/>
      </w:pPr>
      <w:r>
        <w:t xml:space="preserve">In conjunction with the FOSCs and SOSCs, </w:t>
      </w:r>
      <w:r w:rsidR="00951707">
        <w:t xml:space="preserve">execute </w:t>
      </w:r>
      <w:r>
        <w:t>restructur</w:t>
      </w:r>
      <w:r w:rsidR="00951707">
        <w:t>ing of</w:t>
      </w:r>
      <w:r>
        <w:t xml:space="preserve"> the Alaska Region’s Area Planning </w:t>
      </w:r>
      <w:r w:rsidR="00645EE9">
        <w:t>Framework</w:t>
      </w:r>
      <w:r>
        <w:t xml:space="preserve"> including: conversion from subareas to areas with NCP-compliant Area Committees; reorganization of the current family of plans to NCP-compliant RCP and ACPs; </w:t>
      </w:r>
      <w:r w:rsidR="008C27A9">
        <w:t xml:space="preserve">and </w:t>
      </w:r>
      <w:r w:rsidR="00645EE9">
        <w:t xml:space="preserve">achievement of a steady-state compliant with all federal and state </w:t>
      </w:r>
      <w:r w:rsidR="008C27A9">
        <w:t xml:space="preserve">agency </w:t>
      </w:r>
      <w:r w:rsidR="00645EE9">
        <w:t>mandates.</w:t>
      </w:r>
      <w:r w:rsidR="00044546">
        <w:br/>
      </w:r>
    </w:p>
    <w:p w:rsidR="00D75E06" w:rsidRPr="003D5718" w:rsidRDefault="00D53192" w:rsidP="000A16C8">
      <w:pPr>
        <w:pStyle w:val="ListParagraph"/>
        <w:numPr>
          <w:ilvl w:val="0"/>
          <w:numId w:val="4"/>
        </w:numPr>
        <w:ind w:left="720"/>
      </w:pPr>
      <w:r w:rsidRPr="003D5718">
        <w:t xml:space="preserve">Where relevant to ARRT equities, </w:t>
      </w:r>
      <w:r w:rsidR="00AB7719" w:rsidRPr="003D5718">
        <w:t xml:space="preserve">ARRT member agencies will work </w:t>
      </w:r>
      <w:r w:rsidRPr="003D5718">
        <w:t>c</w:t>
      </w:r>
      <w:r w:rsidR="00AB7719" w:rsidRPr="003D5718">
        <w:t xml:space="preserve">ollaboratively </w:t>
      </w:r>
      <w:r w:rsidR="00034154" w:rsidRPr="003D5718">
        <w:t xml:space="preserve">to implement the Reasonable and Prudent Measures (RPM) (with Terms and Conditions) from the NMFS ESA Biological Opinion and, </w:t>
      </w:r>
      <w:r w:rsidR="00C00C82" w:rsidRPr="003D5718">
        <w:t xml:space="preserve">to </w:t>
      </w:r>
      <w:r w:rsidR="00034154" w:rsidRPr="003D5718">
        <w:t xml:space="preserve">the maximum extent practicable, the Conservation Recommendations from the NMFS and USFWS Biological Opinions. </w:t>
      </w:r>
      <w:r w:rsidR="003D5718">
        <w:t xml:space="preserve">  </w:t>
      </w:r>
      <w:r w:rsidR="00663994" w:rsidRPr="003D5718">
        <w:br/>
      </w:r>
    </w:p>
    <w:p w:rsidR="00D75E06" w:rsidRPr="00CA4BDC" w:rsidRDefault="00951707" w:rsidP="00CA4BDC">
      <w:pPr>
        <w:pStyle w:val="ListParagraph"/>
        <w:numPr>
          <w:ilvl w:val="0"/>
          <w:numId w:val="4"/>
        </w:numPr>
        <w:ind w:left="720"/>
      </w:pPr>
      <w:r>
        <w:t>Utilize</w:t>
      </w:r>
      <w:r w:rsidR="00E55430" w:rsidRPr="00CA4BDC">
        <w:t xml:space="preserve"> web-based technologies (i.e., </w:t>
      </w:r>
      <w:r w:rsidR="00513712">
        <w:t xml:space="preserve">WebEx, </w:t>
      </w:r>
      <w:r w:rsidR="00E55430" w:rsidRPr="00CA4BDC">
        <w:t>Go-To Meeting, etc.) to enhance the experience for call-in participants at ARRT meetings.</w:t>
      </w:r>
      <w:r w:rsidR="004A36F4">
        <w:t xml:space="preserve">  </w:t>
      </w:r>
      <w:r w:rsidR="00D75E06" w:rsidRPr="00CA4BDC">
        <w:br/>
      </w:r>
    </w:p>
    <w:p w:rsidR="006543F1" w:rsidRDefault="00D15B87">
      <w:pPr>
        <w:pStyle w:val="ListParagraph"/>
        <w:numPr>
          <w:ilvl w:val="0"/>
          <w:numId w:val="4"/>
        </w:numPr>
        <w:ind w:left="720"/>
      </w:pPr>
      <w:r>
        <w:t xml:space="preserve">Through the Science and Technology Committee (STC), lead interpretation of the findings of the national-level work group, and synthesize key messages for OSC’s regarding the </w:t>
      </w:r>
      <w:r w:rsidR="00765D49">
        <w:t>state of the science for d</w:t>
      </w:r>
      <w:r w:rsidR="00995E55">
        <w:t>ispersants</w:t>
      </w:r>
      <w:r w:rsidR="006057E8">
        <w:t xml:space="preserve"> in cold water</w:t>
      </w:r>
      <w:r w:rsidR="009945A4">
        <w:t xml:space="preserve"> and other relevant research topics</w:t>
      </w:r>
      <w:r w:rsidR="00995E55">
        <w:t>.</w:t>
      </w:r>
      <w:r w:rsidR="008C27A9">
        <w:br/>
      </w:r>
      <w:r w:rsidR="00995E55">
        <w:t xml:space="preserve">  </w:t>
      </w:r>
    </w:p>
    <w:p w:rsidR="003037A1" w:rsidRDefault="003037A1">
      <w:pPr>
        <w:pStyle w:val="ListParagraph"/>
        <w:numPr>
          <w:ilvl w:val="0"/>
          <w:numId w:val="4"/>
        </w:numPr>
        <w:ind w:left="720"/>
      </w:pPr>
      <w:r>
        <w:br/>
      </w:r>
    </w:p>
    <w:p w:rsidR="003037A1" w:rsidRDefault="003037A1">
      <w:pPr>
        <w:pStyle w:val="ListParagraph"/>
        <w:numPr>
          <w:ilvl w:val="0"/>
          <w:numId w:val="4"/>
        </w:numPr>
        <w:ind w:left="720"/>
      </w:pPr>
      <w:r>
        <w:t>Ensure</w:t>
      </w:r>
      <w:r w:rsidRPr="003037A1">
        <w:t xml:space="preserve"> </w:t>
      </w:r>
      <w:r w:rsidRPr="0047223B">
        <w:t>continued cooperation between</w:t>
      </w:r>
      <w:r>
        <w:t xml:space="preserve"> the three UP signatory agencies, for training, exercises, and planning activities, through use of the ARRT private website calendar.  </w:t>
      </w:r>
      <w:hyperlink r:id="rId13" w:history="1">
        <w:r w:rsidRPr="003B4EC1">
          <w:rPr>
            <w:rStyle w:val="Hyperlink"/>
          </w:rPr>
          <w:t>http://private.alaskarrt.org/Calendar/Default.aspx</w:t>
        </w:r>
      </w:hyperlink>
      <w:r>
        <w:br/>
      </w:r>
    </w:p>
    <w:p w:rsidR="0025427C" w:rsidRPr="00CA4BDC" w:rsidRDefault="003037A1" w:rsidP="000A16C8">
      <w:pPr>
        <w:pStyle w:val="ListParagraph"/>
        <w:numPr>
          <w:ilvl w:val="0"/>
          <w:numId w:val="4"/>
        </w:numPr>
        <w:ind w:left="720"/>
      </w:pPr>
      <w:r>
        <w:t>W</w:t>
      </w:r>
      <w:r w:rsidR="00C37AF5" w:rsidRPr="00CA4BDC">
        <w:t xml:space="preserve">ork toward </w:t>
      </w:r>
      <w:r w:rsidR="00091BBF" w:rsidRPr="00CA4BDC">
        <w:t xml:space="preserve">ARRT-related </w:t>
      </w:r>
      <w:r w:rsidR="00C37AF5" w:rsidRPr="00CA4BDC">
        <w:t>objectives as s</w:t>
      </w:r>
      <w:r w:rsidR="002870BB" w:rsidRPr="00CA4BDC">
        <w:t>tated in approved</w:t>
      </w:r>
      <w:r w:rsidR="00C37AF5" w:rsidRPr="00CA4BDC">
        <w:t xml:space="preserve"> </w:t>
      </w:r>
      <w:r w:rsidR="002870BB" w:rsidRPr="00CA4BDC">
        <w:t xml:space="preserve">implementation </w:t>
      </w:r>
      <w:r w:rsidR="00C37AF5" w:rsidRPr="00CA4BDC">
        <w:t>plans</w:t>
      </w:r>
      <w:r w:rsidR="00423859" w:rsidRPr="00CA4BDC">
        <w:t xml:space="preserve"> and policy documents</w:t>
      </w:r>
      <w:r w:rsidR="00C37AF5" w:rsidRPr="00CA4BDC">
        <w:t>:</w:t>
      </w:r>
      <w:r w:rsidR="00951707">
        <w:t xml:space="preserve">  (determine currency of each of these)</w:t>
      </w:r>
    </w:p>
    <w:p w:rsidR="00C37AF5" w:rsidRPr="00CA4BDC" w:rsidRDefault="00091BBF" w:rsidP="00A47BF4">
      <w:pPr>
        <w:pStyle w:val="ListParagraph"/>
        <w:numPr>
          <w:ilvl w:val="1"/>
          <w:numId w:val="4"/>
        </w:numPr>
        <w:ind w:left="1440"/>
      </w:pPr>
      <w:r w:rsidRPr="00CA4BDC">
        <w:t>National Strategy for the Arctic Region (NSAR), pg 13</w:t>
      </w:r>
    </w:p>
    <w:p w:rsidR="00091BBF" w:rsidRPr="00CA4BDC" w:rsidRDefault="002870BB" w:rsidP="00A47BF4">
      <w:pPr>
        <w:pStyle w:val="ListParagraph"/>
        <w:numPr>
          <w:ilvl w:val="1"/>
          <w:numId w:val="4"/>
        </w:numPr>
        <w:ind w:left="1440"/>
      </w:pPr>
      <w:r w:rsidRPr="00CA4BDC">
        <w:t>Departmental/Agency-specific Arctic plans</w:t>
      </w:r>
    </w:p>
    <w:p w:rsidR="002870BB" w:rsidRPr="00CA4BDC" w:rsidRDefault="002870BB" w:rsidP="00A47BF4">
      <w:pPr>
        <w:pStyle w:val="ListParagraph"/>
        <w:numPr>
          <w:ilvl w:val="1"/>
          <w:numId w:val="4"/>
        </w:numPr>
        <w:ind w:left="1440"/>
      </w:pPr>
      <w:r w:rsidRPr="00CA4BDC">
        <w:t xml:space="preserve">National Response Team Plan for Incorporation of National Academy of Sciences Arctic </w:t>
      </w:r>
      <w:r w:rsidR="00316330" w:rsidRPr="00CA4BDC">
        <w:t>Spill Response Assessment</w:t>
      </w:r>
    </w:p>
    <w:p w:rsidR="00316330" w:rsidRPr="00CA4BDC" w:rsidRDefault="00316330" w:rsidP="00A47BF4">
      <w:pPr>
        <w:pStyle w:val="ListParagraph"/>
        <w:numPr>
          <w:ilvl w:val="1"/>
          <w:numId w:val="4"/>
        </w:numPr>
        <w:ind w:left="1440"/>
      </w:pPr>
      <w:r w:rsidRPr="00CA4BDC">
        <w:t>Alaska Arctic Policy Commission</w:t>
      </w:r>
      <w:r w:rsidR="00776122" w:rsidRPr="00CA4BDC">
        <w:t xml:space="preserve"> Final Report and Implementation Plan (specifically recommendations 2(d),(e),(f) and (h)</w:t>
      </w:r>
    </w:p>
    <w:p w:rsidR="00316330" w:rsidRPr="00CA4BDC" w:rsidRDefault="00D14723" w:rsidP="00A47BF4">
      <w:pPr>
        <w:pStyle w:val="ListParagraph"/>
        <w:numPr>
          <w:ilvl w:val="1"/>
          <w:numId w:val="4"/>
        </w:numPr>
        <w:ind w:left="1440"/>
      </w:pPr>
      <w:r w:rsidRPr="00CA4BDC">
        <w:rPr>
          <w:i/>
        </w:rPr>
        <w:t xml:space="preserve">BP </w:t>
      </w:r>
      <w:r w:rsidR="00316330" w:rsidRPr="00CA4BDC">
        <w:rPr>
          <w:i/>
        </w:rPr>
        <w:t>Deepwater Horizon/Macondo</w:t>
      </w:r>
      <w:r w:rsidR="00316330" w:rsidRPr="00CA4BDC">
        <w:t xml:space="preserve"> Incident Specific Preparedness Review</w:t>
      </w:r>
    </w:p>
    <w:p w:rsidR="00E60207" w:rsidRPr="00CA4BDC" w:rsidRDefault="00D517CC" w:rsidP="00A47BF4">
      <w:pPr>
        <w:pStyle w:val="ListParagraph"/>
        <w:numPr>
          <w:ilvl w:val="1"/>
          <w:numId w:val="4"/>
        </w:numPr>
        <w:ind w:left="1440"/>
      </w:pPr>
      <w:r w:rsidRPr="00CA4BDC">
        <w:t>USCG/BSEE</w:t>
      </w:r>
      <w:r w:rsidR="00E60207" w:rsidRPr="00CA4BDC">
        <w:t xml:space="preserve"> WCD Contingency Plan Analysis Report </w:t>
      </w:r>
    </w:p>
    <w:p w:rsidR="00316330" w:rsidRPr="00CA4BDC" w:rsidRDefault="009876C4" w:rsidP="00A47BF4">
      <w:pPr>
        <w:pStyle w:val="ListParagraph"/>
        <w:numPr>
          <w:ilvl w:val="1"/>
          <w:numId w:val="4"/>
        </w:numPr>
        <w:ind w:left="1440"/>
      </w:pPr>
      <w:r w:rsidRPr="00CA4BDC">
        <w:t>16 DEC 2010 NRT Memorandum:  Required ACP Revisions on Use of Dispersants on Oil Spills</w:t>
      </w:r>
    </w:p>
    <w:p w:rsidR="00316330" w:rsidRPr="00086088" w:rsidRDefault="00316330" w:rsidP="00A47BF4">
      <w:pPr>
        <w:pStyle w:val="ListParagraph"/>
        <w:numPr>
          <w:ilvl w:val="1"/>
          <w:numId w:val="4"/>
        </w:numPr>
        <w:ind w:left="1440"/>
      </w:pPr>
      <w:r w:rsidRPr="00086088">
        <w:t xml:space="preserve">Presidential Executive Order on </w:t>
      </w:r>
      <w:r w:rsidR="00086088" w:rsidRPr="00086088">
        <w:rPr>
          <w:rFonts w:cs="Arial"/>
        </w:rPr>
        <w:t>Enhancing Coordination of National Efforts in the Arctic</w:t>
      </w:r>
      <w:r w:rsidR="00804668">
        <w:rPr>
          <w:rFonts w:cs="Arial"/>
        </w:rPr>
        <w:t xml:space="preserve"> (EO 13689)</w:t>
      </w:r>
      <w:r w:rsidR="00951707">
        <w:rPr>
          <w:rFonts w:cs="Arial"/>
        </w:rPr>
        <w:t xml:space="preserve"> (determine whether still in effect)</w:t>
      </w:r>
    </w:p>
    <w:p w:rsidR="000A16C8" w:rsidRDefault="000A16C8">
      <w:pPr>
        <w:rPr>
          <w:b/>
          <w:strike/>
          <w:highlight w:val="yellow"/>
        </w:rPr>
      </w:pPr>
    </w:p>
    <w:p w:rsidR="00972BDE" w:rsidRPr="00866E6D" w:rsidRDefault="000A16C8" w:rsidP="00972BDE">
      <w:pPr>
        <w:rPr>
          <w:b/>
          <w:highlight w:val="yellow"/>
        </w:rPr>
      </w:pPr>
      <w:r w:rsidRPr="00CA4BDC">
        <w:rPr>
          <w:b/>
        </w:rPr>
        <w:lastRenderedPageBreak/>
        <w:t>Plan Status</w:t>
      </w:r>
      <w:r w:rsidR="000A1EBA" w:rsidRPr="00CA4BDC">
        <w:rPr>
          <w:b/>
        </w:rPr>
        <w:br/>
      </w:r>
      <w:r w:rsidR="00972BDE" w:rsidRPr="00972BDE">
        <w:rPr>
          <w:highlight w:val="yellow"/>
        </w:rPr>
        <w:t xml:space="preserve">** This schedule is </w:t>
      </w:r>
      <w:r w:rsidR="00972BDE">
        <w:rPr>
          <w:highlight w:val="yellow"/>
        </w:rPr>
        <w:t>currently suspended</w:t>
      </w:r>
      <w:r w:rsidR="00972BDE" w:rsidRPr="00972BDE">
        <w:rPr>
          <w:highlight w:val="yellow"/>
        </w:rPr>
        <w:t xml:space="preserve"> pending </w:t>
      </w:r>
      <w:r w:rsidR="00972BDE">
        <w:rPr>
          <w:highlight w:val="yellow"/>
        </w:rPr>
        <w:t xml:space="preserve">completion </w:t>
      </w:r>
      <w:r w:rsidR="00972BDE" w:rsidRPr="00972BDE">
        <w:rPr>
          <w:highlight w:val="yellow"/>
        </w:rPr>
        <w:t xml:space="preserve"> </w:t>
      </w:r>
      <w:r w:rsidR="00972BDE" w:rsidRPr="00972BDE">
        <w:rPr>
          <w:highlight w:val="yellow"/>
        </w:rPr>
        <w:t>of a</w:t>
      </w:r>
      <w:r w:rsidR="00972BDE">
        <w:rPr>
          <w:highlight w:val="yellow"/>
        </w:rPr>
        <w:t xml:space="preserve">n </w:t>
      </w:r>
      <w:r w:rsidR="00972BDE">
        <w:rPr>
          <w:highlight w:val="yellow"/>
        </w:rPr>
        <w:t xml:space="preserve">effort </w:t>
      </w:r>
      <w:r w:rsidR="00972BDE" w:rsidRPr="00972BDE">
        <w:rPr>
          <w:highlight w:val="yellow"/>
        </w:rPr>
        <w:t>to adopt the Area Planning Framework in use in other Regions (Area Contingency Plans, and a Regional Contingency Plan).</w:t>
      </w:r>
    </w:p>
    <w:p w:rsidR="000A16C8" w:rsidRPr="00CA4BDC" w:rsidRDefault="000A16C8">
      <w:pPr>
        <w:rPr>
          <w:b/>
        </w:rPr>
      </w:pPr>
    </w:p>
    <w:p w:rsidR="00A47BF4" w:rsidRPr="00CA4BDC" w:rsidRDefault="00A47BF4" w:rsidP="000A1EBA">
      <w:pPr>
        <w:pStyle w:val="ListParagraph"/>
        <w:numPr>
          <w:ilvl w:val="0"/>
          <w:numId w:val="4"/>
        </w:numPr>
        <w:ind w:left="720"/>
      </w:pPr>
      <w:r w:rsidRPr="00CA4BDC">
        <w:t xml:space="preserve">Unified Plan:  Current version is Change 3 issued in January 2010.  Due for revision 2015. </w:t>
      </w:r>
    </w:p>
    <w:p w:rsidR="00A47BF4" w:rsidRPr="00CA4BDC" w:rsidRDefault="00A47BF4" w:rsidP="000A1EBA">
      <w:pPr>
        <w:pStyle w:val="ListParagraph"/>
        <w:numPr>
          <w:ilvl w:val="0"/>
          <w:numId w:val="4"/>
        </w:numPr>
        <w:ind w:left="720"/>
      </w:pPr>
      <w:r w:rsidRPr="00CA4BDC">
        <w:t>Subarea Plans</w:t>
      </w:r>
      <w:r w:rsidR="002B78E4">
        <w:t>**</w:t>
      </w:r>
      <w:r w:rsidRPr="00CA4BDC">
        <w:t>:</w:t>
      </w:r>
    </w:p>
    <w:p w:rsidR="007B7E2D" w:rsidRPr="00CA4BDC" w:rsidRDefault="007B7E2D" w:rsidP="000A1EBA">
      <w:pPr>
        <w:pStyle w:val="ListParagraph"/>
        <w:numPr>
          <w:ilvl w:val="1"/>
          <w:numId w:val="4"/>
        </w:numPr>
        <w:ind w:left="1440"/>
      </w:pPr>
      <w:r w:rsidRPr="00CA4BDC">
        <w:rPr>
          <w:rFonts w:cs="Tahoma"/>
          <w:color w:val="000000"/>
        </w:rPr>
        <w:t>*Aleutians (</w:t>
      </w:r>
      <w:r w:rsidR="00804668">
        <w:rPr>
          <w:rFonts w:cs="Tahoma"/>
          <w:color w:val="000000"/>
        </w:rPr>
        <w:t>May 2015</w:t>
      </w:r>
      <w:r w:rsidRPr="00CA4BDC">
        <w:rPr>
          <w:rFonts w:cs="Tahoma"/>
          <w:color w:val="000000"/>
        </w:rPr>
        <w:t xml:space="preserve">) </w:t>
      </w:r>
      <w:r w:rsidR="00804668">
        <w:rPr>
          <w:rFonts w:cs="Tahoma"/>
          <w:color w:val="000000"/>
        </w:rPr>
        <w:t xml:space="preserve"> - current</w:t>
      </w:r>
    </w:p>
    <w:p w:rsidR="00804668" w:rsidRPr="00CA4BDC" w:rsidRDefault="00804668" w:rsidP="00804668">
      <w:pPr>
        <w:pStyle w:val="ListParagraph"/>
        <w:numPr>
          <w:ilvl w:val="1"/>
          <w:numId w:val="4"/>
        </w:numPr>
        <w:ind w:left="1440"/>
      </w:pPr>
      <w:r w:rsidRPr="00CA4BDC">
        <w:rPr>
          <w:rFonts w:cs="Tahoma"/>
          <w:color w:val="000000"/>
        </w:rPr>
        <w:t>*Bristol Bay (February 2013) - current</w:t>
      </w:r>
    </w:p>
    <w:p w:rsidR="00A47BF4" w:rsidRPr="00CA4BDC" w:rsidRDefault="007B7E2D" w:rsidP="000A1EBA">
      <w:pPr>
        <w:pStyle w:val="ListParagraph"/>
        <w:numPr>
          <w:ilvl w:val="1"/>
          <w:numId w:val="4"/>
        </w:numPr>
        <w:ind w:left="1440"/>
      </w:pPr>
      <w:r w:rsidRPr="00CA4BDC">
        <w:rPr>
          <w:rFonts w:cs="Tahoma"/>
          <w:color w:val="000000"/>
        </w:rPr>
        <w:t>*</w:t>
      </w:r>
      <w:r w:rsidR="00A47BF4" w:rsidRPr="00CA4BDC">
        <w:rPr>
          <w:rFonts w:cs="Tahoma"/>
          <w:color w:val="000000"/>
        </w:rPr>
        <w:t>Cook Inlet</w:t>
      </w:r>
      <w:r w:rsidR="00E07949" w:rsidRPr="00CA4BDC">
        <w:rPr>
          <w:rFonts w:cs="Tahoma"/>
          <w:color w:val="000000"/>
        </w:rPr>
        <w:t xml:space="preserve"> (December 2010)</w:t>
      </w:r>
      <w:r w:rsidR="00A47BF4" w:rsidRPr="00CA4BDC">
        <w:rPr>
          <w:rFonts w:cs="Tahoma"/>
          <w:color w:val="000000"/>
        </w:rPr>
        <w:t xml:space="preserve"> - </w:t>
      </w:r>
      <w:r w:rsidR="00804668">
        <w:rPr>
          <w:rFonts w:cs="Tahoma"/>
          <w:color w:val="000000"/>
        </w:rPr>
        <w:t xml:space="preserve"> revision underway</w:t>
      </w:r>
    </w:p>
    <w:p w:rsidR="00804668" w:rsidRPr="00CA4BDC" w:rsidRDefault="00804668" w:rsidP="00804668">
      <w:pPr>
        <w:pStyle w:val="ListParagraph"/>
        <w:numPr>
          <w:ilvl w:val="1"/>
          <w:numId w:val="4"/>
        </w:numPr>
        <w:ind w:left="1440"/>
      </w:pPr>
      <w:r w:rsidRPr="00CA4BDC">
        <w:rPr>
          <w:rFonts w:cs="Tahoma"/>
          <w:color w:val="000000"/>
        </w:rPr>
        <w:t>Interior (April 20</w:t>
      </w:r>
      <w:r>
        <w:rPr>
          <w:rFonts w:cs="Tahoma"/>
          <w:color w:val="000000"/>
        </w:rPr>
        <w:t>15</w:t>
      </w:r>
      <w:r w:rsidRPr="00CA4BDC">
        <w:rPr>
          <w:rFonts w:cs="Tahoma"/>
          <w:color w:val="000000"/>
        </w:rPr>
        <w:t xml:space="preserve">) </w:t>
      </w:r>
      <w:r>
        <w:rPr>
          <w:rFonts w:cs="Tahoma"/>
          <w:color w:val="000000"/>
        </w:rPr>
        <w:t>- current</w:t>
      </w:r>
    </w:p>
    <w:p w:rsidR="00A47BF4" w:rsidRPr="00CA4BDC" w:rsidRDefault="007B7E2D" w:rsidP="000A1EBA">
      <w:pPr>
        <w:pStyle w:val="ListParagraph"/>
        <w:numPr>
          <w:ilvl w:val="1"/>
          <w:numId w:val="4"/>
        </w:numPr>
        <w:ind w:left="1440"/>
      </w:pPr>
      <w:r w:rsidRPr="00CA4BDC">
        <w:rPr>
          <w:rFonts w:cs="Tahoma"/>
          <w:color w:val="000000"/>
        </w:rPr>
        <w:t>*</w:t>
      </w:r>
      <w:r w:rsidR="00A47BF4" w:rsidRPr="00CA4BDC">
        <w:rPr>
          <w:rFonts w:cs="Tahoma"/>
          <w:color w:val="000000"/>
        </w:rPr>
        <w:t xml:space="preserve">Kodiak </w:t>
      </w:r>
      <w:r w:rsidR="00E07949" w:rsidRPr="00CA4BDC">
        <w:rPr>
          <w:rFonts w:cs="Tahoma"/>
          <w:color w:val="000000"/>
        </w:rPr>
        <w:t>(March 201</w:t>
      </w:r>
      <w:r w:rsidR="00645EE9">
        <w:rPr>
          <w:rFonts w:cs="Tahoma"/>
          <w:color w:val="000000"/>
        </w:rPr>
        <w:t>0</w:t>
      </w:r>
      <w:r w:rsidR="00E07949" w:rsidRPr="00CA4BDC">
        <w:rPr>
          <w:rFonts w:cs="Tahoma"/>
          <w:color w:val="000000"/>
        </w:rPr>
        <w:t>)</w:t>
      </w:r>
      <w:r w:rsidR="00A47BF4" w:rsidRPr="00CA4BDC">
        <w:rPr>
          <w:rFonts w:cs="Tahoma"/>
          <w:color w:val="000000"/>
        </w:rPr>
        <w:t xml:space="preserve"> - </w:t>
      </w:r>
      <w:r w:rsidR="00645EE9">
        <w:rPr>
          <w:rFonts w:cs="Tahoma"/>
          <w:color w:val="000000"/>
        </w:rPr>
        <w:t>overdue</w:t>
      </w:r>
    </w:p>
    <w:p w:rsidR="00804668" w:rsidRPr="00CA4BDC" w:rsidRDefault="00804668" w:rsidP="00804668">
      <w:pPr>
        <w:pStyle w:val="ListParagraph"/>
        <w:numPr>
          <w:ilvl w:val="1"/>
          <w:numId w:val="4"/>
        </w:numPr>
        <w:ind w:left="1440"/>
      </w:pPr>
      <w:r w:rsidRPr="00CA4BDC">
        <w:rPr>
          <w:rFonts w:cs="Tahoma"/>
          <w:color w:val="000000"/>
        </w:rPr>
        <w:t>North Slope (May 2012) - current</w:t>
      </w:r>
    </w:p>
    <w:p w:rsidR="00A47BF4" w:rsidRPr="00CA4BDC" w:rsidRDefault="00A47BF4" w:rsidP="000A1EBA">
      <w:pPr>
        <w:pStyle w:val="ListParagraph"/>
        <w:numPr>
          <w:ilvl w:val="1"/>
          <w:numId w:val="4"/>
        </w:numPr>
        <w:ind w:left="1440"/>
      </w:pPr>
      <w:r w:rsidRPr="00CA4BDC">
        <w:rPr>
          <w:rFonts w:cs="Tahoma"/>
          <w:color w:val="000000"/>
        </w:rPr>
        <w:t xml:space="preserve">Northwest Arctic </w:t>
      </w:r>
      <w:r w:rsidR="00E07949" w:rsidRPr="00CA4BDC">
        <w:rPr>
          <w:rFonts w:cs="Tahoma"/>
          <w:color w:val="000000"/>
        </w:rPr>
        <w:t>(January 2012)</w:t>
      </w:r>
      <w:r w:rsidR="000A1EBA" w:rsidRPr="00CA4BDC">
        <w:rPr>
          <w:rFonts w:cs="Tahoma"/>
          <w:color w:val="000000"/>
        </w:rPr>
        <w:t xml:space="preserve"> </w:t>
      </w:r>
      <w:r w:rsidRPr="00CA4BDC">
        <w:rPr>
          <w:rFonts w:cs="Tahoma"/>
          <w:color w:val="000000"/>
        </w:rPr>
        <w:t>- 201</w:t>
      </w:r>
      <w:r w:rsidR="00645EE9">
        <w:rPr>
          <w:rFonts w:cs="Tahoma"/>
          <w:color w:val="000000"/>
        </w:rPr>
        <w:t>7</w:t>
      </w:r>
      <w:r w:rsidR="00E07949" w:rsidRPr="00CA4BDC">
        <w:rPr>
          <w:rFonts w:cs="Tahoma"/>
          <w:color w:val="000000"/>
        </w:rPr>
        <w:t xml:space="preserve"> </w:t>
      </w:r>
    </w:p>
    <w:p w:rsidR="005A6E33" w:rsidRPr="005A6E33" w:rsidRDefault="00B90E92">
      <w:pPr>
        <w:pStyle w:val="ListParagraph"/>
        <w:numPr>
          <w:ilvl w:val="1"/>
          <w:numId w:val="4"/>
        </w:numPr>
        <w:ind w:left="1440"/>
      </w:pPr>
      <w:r>
        <w:rPr>
          <w:rFonts w:cs="Tahoma"/>
          <w:color w:val="000000"/>
        </w:rPr>
        <w:t xml:space="preserve">*Prince William Sound (October 2014) </w:t>
      </w:r>
      <w:r w:rsidR="005A6E33">
        <w:rPr>
          <w:rFonts w:cs="Tahoma"/>
          <w:color w:val="000000"/>
        </w:rPr>
        <w:t>–</w:t>
      </w:r>
      <w:r>
        <w:rPr>
          <w:rFonts w:cs="Tahoma"/>
          <w:color w:val="000000"/>
        </w:rPr>
        <w:t xml:space="preserve"> current</w:t>
      </w:r>
    </w:p>
    <w:p w:rsidR="005A6E33" w:rsidRPr="005A6E33" w:rsidRDefault="005A6E33">
      <w:pPr>
        <w:pStyle w:val="ListParagraph"/>
        <w:numPr>
          <w:ilvl w:val="1"/>
          <w:numId w:val="4"/>
        </w:numPr>
        <w:ind w:left="1440"/>
      </w:pPr>
      <w:r>
        <w:rPr>
          <w:rFonts w:cs="Tahoma"/>
          <w:color w:val="000000"/>
        </w:rPr>
        <w:t>Southeast Alaska (April 2013) - current</w:t>
      </w:r>
    </w:p>
    <w:p w:rsidR="006543F1" w:rsidRDefault="00A47BF4">
      <w:pPr>
        <w:pStyle w:val="ListParagraph"/>
        <w:numPr>
          <w:ilvl w:val="1"/>
          <w:numId w:val="4"/>
        </w:numPr>
        <w:ind w:left="1440"/>
      </w:pPr>
      <w:r w:rsidRPr="00CA4BDC">
        <w:rPr>
          <w:rFonts w:cs="Tahoma"/>
          <w:color w:val="000000"/>
        </w:rPr>
        <w:t>Western Alas</w:t>
      </w:r>
      <w:r w:rsidR="00804668">
        <w:rPr>
          <w:rFonts w:cs="Tahoma"/>
          <w:color w:val="000000"/>
        </w:rPr>
        <w:t>ka</w:t>
      </w:r>
      <w:r w:rsidR="00E07949" w:rsidRPr="00CA4BDC">
        <w:rPr>
          <w:rFonts w:cs="Tahoma"/>
          <w:color w:val="000000"/>
        </w:rPr>
        <w:t xml:space="preserve"> (</w:t>
      </w:r>
      <w:r w:rsidR="00F34ACD" w:rsidRPr="00CA4BDC">
        <w:rPr>
          <w:rFonts w:cs="Tahoma"/>
          <w:color w:val="000000"/>
        </w:rPr>
        <w:t>February 2013) - current</w:t>
      </w:r>
    </w:p>
    <w:p w:rsidR="000A16C8" w:rsidRPr="000A16C8" w:rsidRDefault="000A16C8">
      <w:pPr>
        <w:rPr>
          <w:b/>
          <w:highlight w:val="yellow"/>
        </w:rPr>
      </w:pPr>
    </w:p>
    <w:p w:rsidR="0057156A" w:rsidRDefault="0057156A" w:rsidP="0057156A">
      <w:pPr>
        <w:rPr>
          <w:b/>
        </w:rPr>
      </w:pPr>
      <w:r w:rsidRPr="00AA3B37">
        <w:rPr>
          <w:b/>
        </w:rPr>
        <w:t>Scheduled Meetings</w:t>
      </w:r>
    </w:p>
    <w:p w:rsidR="006543F1" w:rsidRDefault="0057156A">
      <w:pPr>
        <w:spacing w:before="120"/>
      </w:pPr>
      <w:r w:rsidRPr="00CA4BDC">
        <w:t>In accordance with ARRT Charter Article IV, Section 8, all members/alternates and OSCs are welcome to attend any ARRT meeting.  To the extent practicable, the Standing Alaska RRT will hold a one</w:t>
      </w:r>
      <w:r w:rsidR="006057E8">
        <w:t>-</w:t>
      </w:r>
      <w:r w:rsidRPr="00CA4BDC">
        <w:t>day meeting three times per year in conjunction with the relevant Subarea Committee meeting according to the following schedule/location as funds allow</w:t>
      </w:r>
      <w:r w:rsidR="0047223B">
        <w:t xml:space="preserve"> (ARRT Meeting in bold font)</w:t>
      </w:r>
      <w:r w:rsidRPr="00CA4BDC">
        <w:t xml:space="preserve">: </w:t>
      </w:r>
    </w:p>
    <w:p w:rsidR="006543F1" w:rsidRDefault="006543F1"/>
    <w:p w:rsidR="009500A9" w:rsidRDefault="009500A9" w:rsidP="0057156A">
      <w:pPr>
        <w:pStyle w:val="ListParagraph"/>
        <w:numPr>
          <w:ilvl w:val="0"/>
          <w:numId w:val="1"/>
        </w:numPr>
      </w:pPr>
      <w:r>
        <w:t xml:space="preserve">Spring 2018 in </w:t>
      </w:r>
      <w:r w:rsidR="00866E6D">
        <w:t xml:space="preserve">Juneau </w:t>
      </w:r>
      <w:r>
        <w:t>(May 15-</w:t>
      </w:r>
      <w:r w:rsidRPr="00F43254">
        <w:rPr>
          <w:b/>
        </w:rPr>
        <w:t>16</w:t>
      </w:r>
      <w:r>
        <w:t>, 2018) [USCG,</w:t>
      </w:r>
      <w:r w:rsidR="00BC7D81">
        <w:t xml:space="preserve"> EPA, DOI, NOAA, &amp; ADEC please p</w:t>
      </w:r>
      <w:r>
        <w:t>rioritize]</w:t>
      </w:r>
    </w:p>
    <w:p w:rsidR="00BC7D81" w:rsidRDefault="009500A9" w:rsidP="00BC7D81">
      <w:pPr>
        <w:pStyle w:val="ListParagraph"/>
        <w:numPr>
          <w:ilvl w:val="0"/>
          <w:numId w:val="1"/>
        </w:numPr>
      </w:pPr>
      <w:r>
        <w:t xml:space="preserve">Fall 2018 in </w:t>
      </w:r>
      <w:r w:rsidR="00866E6D">
        <w:t xml:space="preserve">Utqiagvik </w:t>
      </w:r>
      <w:r>
        <w:t>(</w:t>
      </w:r>
      <w:r w:rsidR="00172F61">
        <w:t xml:space="preserve">October 17 &amp; </w:t>
      </w:r>
      <w:r w:rsidR="00172F61" w:rsidRPr="00F43254">
        <w:rPr>
          <w:b/>
        </w:rPr>
        <w:t>18</w:t>
      </w:r>
      <w:r w:rsidR="00FE11CC">
        <w:t xml:space="preserve"> </w:t>
      </w:r>
      <w:r w:rsidR="00BC7D81">
        <w:t>, 2018) [USCG, EPA, DOI, NOAA, &amp; ADEC please prioritize]</w:t>
      </w:r>
    </w:p>
    <w:p w:rsidR="00972BDE" w:rsidRDefault="00972BDE" w:rsidP="00BC7D81">
      <w:pPr>
        <w:pStyle w:val="ListParagraph"/>
        <w:numPr>
          <w:ilvl w:val="0"/>
          <w:numId w:val="1"/>
        </w:numPr>
      </w:pPr>
      <w:r>
        <w:t>Winter 2019 in Anchorage (January 29-30) [All member agencies and OSC’s are asked to attend]</w:t>
      </w:r>
    </w:p>
    <w:p w:rsidR="00972BDE" w:rsidRDefault="00972BDE" w:rsidP="00BC7D81">
      <w:pPr>
        <w:pStyle w:val="ListParagraph"/>
        <w:numPr>
          <w:ilvl w:val="0"/>
          <w:numId w:val="1"/>
        </w:numPr>
      </w:pPr>
      <w:r>
        <w:t>Spring 2019 in Fairbanks (May 14-15) [USCG, EPA, DOI, NOAA, &amp; ADEC please prioritize]</w:t>
      </w:r>
    </w:p>
    <w:p w:rsidR="00972BDE" w:rsidRPr="00CA4BDC" w:rsidRDefault="00972BDE" w:rsidP="00BC7D81">
      <w:pPr>
        <w:pStyle w:val="ListParagraph"/>
        <w:numPr>
          <w:ilvl w:val="0"/>
          <w:numId w:val="1"/>
        </w:numPr>
      </w:pPr>
      <w:r>
        <w:t>Fall 2019 in Juneau (October 15-16) [USCG, EPA, DOI, NOAA, &amp; ADEC please prioritize]</w:t>
      </w:r>
      <w:bookmarkStart w:id="0" w:name="_GoBack"/>
      <w:bookmarkEnd w:id="0"/>
    </w:p>
    <w:p w:rsidR="0057156A" w:rsidRDefault="0057156A" w:rsidP="00AA3B37">
      <w:pPr>
        <w:rPr>
          <w:b/>
        </w:rPr>
      </w:pPr>
    </w:p>
    <w:p w:rsidR="00D75E06" w:rsidRPr="00AA3B37" w:rsidRDefault="00D75E06" w:rsidP="00AA3B37">
      <w:pPr>
        <w:rPr>
          <w:b/>
        </w:rPr>
      </w:pPr>
      <w:r w:rsidRPr="00AA3B37">
        <w:rPr>
          <w:b/>
        </w:rPr>
        <w:t>Exercises</w:t>
      </w:r>
    </w:p>
    <w:p w:rsidR="00D75E06" w:rsidRDefault="00D75E06" w:rsidP="00AA3B37"/>
    <w:p w:rsidR="00D75E06" w:rsidRPr="00587189" w:rsidRDefault="00D75E06" w:rsidP="00587189">
      <w:pPr>
        <w:numPr>
          <w:ilvl w:val="0"/>
          <w:numId w:val="7"/>
        </w:numPr>
      </w:pPr>
      <w:r>
        <w:t xml:space="preserve">Internal.  </w:t>
      </w:r>
      <w:r w:rsidRPr="00587189">
        <w:t xml:space="preserve">As practicable, the Alaska RRT will </w:t>
      </w:r>
      <w:r w:rsidRPr="00CA4BDC">
        <w:t>initiate an</w:t>
      </w:r>
      <w:r w:rsidR="00F33DE6" w:rsidRPr="00CA4BDC">
        <w:t xml:space="preserve"> annual</w:t>
      </w:r>
      <w:r w:rsidRPr="00CA4BDC">
        <w:t xml:space="preserve"> “Worst Case </w:t>
      </w:r>
      <w:r w:rsidR="00992514" w:rsidRPr="00CA4BDC">
        <w:t>Discharge” scenario</w:t>
      </w:r>
      <w:r w:rsidRPr="00CA4BDC">
        <w:t xml:space="preserve"> from one of the Subarea Contingency Plans.  The Alaska RRT co-chairs</w:t>
      </w:r>
      <w:r>
        <w:t xml:space="preserve"> may request the assistance and participation of a FOSC to add realism to the exercise.  </w:t>
      </w:r>
      <w:r w:rsidRPr="00587189">
        <w:t xml:space="preserve">Exercise results </w:t>
      </w:r>
      <w:r>
        <w:t>may</w:t>
      </w:r>
      <w:r w:rsidRPr="00587189">
        <w:t xml:space="preserve"> be documented in the Alaska RRT meeting summary and considered by the Subarea Committee for use in updating the Subarea Contingency Plan, as needed.  EPA and USCG will alternate as the lead for these exercises and will coordinate with </w:t>
      </w:r>
      <w:r w:rsidRPr="002F26E8">
        <w:t xml:space="preserve">ADEC in developing the exercise.  </w:t>
      </w:r>
    </w:p>
    <w:p w:rsidR="00D75E06" w:rsidRPr="00587189" w:rsidRDefault="00D75E06" w:rsidP="00587189">
      <w:pPr>
        <w:numPr>
          <w:ilvl w:val="0"/>
          <w:numId w:val="7"/>
        </w:numPr>
      </w:pPr>
      <w:r>
        <w:t xml:space="preserve">External.  </w:t>
      </w:r>
      <w:r w:rsidRPr="00587189">
        <w:t xml:space="preserve">As practicable, the Alaska RRT will participate in at least one exercise sponsored by Federal, State, or industry via a live activation.  FOSCs </w:t>
      </w:r>
      <w:r w:rsidRPr="00CA4BDC">
        <w:t xml:space="preserve">and SOSCs </w:t>
      </w:r>
      <w:r w:rsidR="00811CDE" w:rsidRPr="00CA4BDC">
        <w:t xml:space="preserve">should </w:t>
      </w:r>
      <w:r w:rsidRPr="00CA4BDC">
        <w:t xml:space="preserve">evaluate their exercise schedules and make recommendations for exercises that are suitable for Alaska RRT participation.  For example, FOSCs and SOSCs </w:t>
      </w:r>
      <w:r w:rsidR="00811CDE" w:rsidRPr="00CA4BDC">
        <w:t>may</w:t>
      </w:r>
      <w:r w:rsidRPr="00CA4BDC">
        <w:t xml:space="preserve"> identify Alaska RRT notification or activation </w:t>
      </w:r>
      <w:r w:rsidRPr="00CA4BDC">
        <w:lastRenderedPageBreak/>
        <w:t>as an exercise objective during the exercise design process.</w:t>
      </w:r>
      <w:r w:rsidRPr="00B06A3F" w:rsidDel="00B97411">
        <w:t xml:space="preserve"> </w:t>
      </w:r>
      <w:r w:rsidRPr="00B06A3F">
        <w:t xml:space="preserve"> </w:t>
      </w:r>
      <w:r w:rsidR="003037A1">
        <w:br/>
      </w:r>
    </w:p>
    <w:p w:rsidR="00D75E06" w:rsidRPr="00AA3B37" w:rsidRDefault="00D75E06">
      <w:pPr>
        <w:rPr>
          <w:b/>
        </w:rPr>
      </w:pPr>
      <w:r w:rsidRPr="00AA3B37">
        <w:rPr>
          <w:b/>
        </w:rPr>
        <w:t>Lessons Learned</w:t>
      </w:r>
    </w:p>
    <w:p w:rsidR="00D75E06" w:rsidRDefault="00D75E06" w:rsidP="00110439">
      <w:pPr>
        <w:spacing w:before="120"/>
      </w:pPr>
      <w:r w:rsidRPr="00110439">
        <w:t>During the OSC report-outs,</w:t>
      </w:r>
      <w:r>
        <w:t xml:space="preserve"> the OSCs will be asked to walk through their response to recent significant incidents and summarize issues and lessons learned from those incidents. </w:t>
      </w:r>
    </w:p>
    <w:p w:rsidR="00D75E06" w:rsidRDefault="00D75E06" w:rsidP="00B1707A"/>
    <w:p w:rsidR="00D75E06" w:rsidRDefault="00D75E06" w:rsidP="00BF06D8">
      <w:r w:rsidRPr="00110439">
        <w:t xml:space="preserve">For </w:t>
      </w:r>
      <w:r>
        <w:t xml:space="preserve">significant </w:t>
      </w:r>
      <w:r w:rsidRPr="00110439">
        <w:t>incidents where</w:t>
      </w:r>
      <w:r>
        <w:t xml:space="preserve"> a Unified Command is activated, the Alaska RRT </w:t>
      </w:r>
      <w:r w:rsidRPr="00587189">
        <w:t>may</w:t>
      </w:r>
      <w:r>
        <w:t xml:space="preserve"> request that the OSC conduct a hot wash and document lessons learned as part of the demobilization process.   Upon request, the OSC will submit the lessons learned to the Alaska RRT and provide a briefing during the next regularly scheduled meeting.  Examples of significant incidents may include: responses involving multiple federal/state/local agencies, high cost or intensive resource expenditures, and high medi</w:t>
      </w:r>
      <w:r w:rsidR="000A16C8">
        <w:t>a or political interest.  Each subarea c</w:t>
      </w:r>
      <w:r>
        <w:t xml:space="preserve">ommittee will consider these lessons learned reports to update their respective SCPs as appropriate. </w:t>
      </w:r>
    </w:p>
    <w:p w:rsidR="00D75E06" w:rsidRDefault="00D75E06" w:rsidP="00F36BA5"/>
    <w:p w:rsidR="00D75E06" w:rsidRDefault="00D75E06" w:rsidP="00A605E4">
      <w:pPr>
        <w:jc w:val="center"/>
      </w:pPr>
      <w:r>
        <w:t>#</w:t>
      </w:r>
    </w:p>
    <w:p w:rsidR="00D75E06" w:rsidRPr="00EC4529" w:rsidRDefault="00D75E06" w:rsidP="00EC4529"/>
    <w:sectPr w:rsidR="00D75E06" w:rsidRPr="00EC4529" w:rsidSect="00950D8B">
      <w:headerReference w:type="default" r:id="rId14"/>
      <w:footerReference w:type="defaul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8C" w:rsidRDefault="000B3A8C" w:rsidP="00AE4887">
      <w:r>
        <w:separator/>
      </w:r>
    </w:p>
  </w:endnote>
  <w:endnote w:type="continuationSeparator" w:id="0">
    <w:p w:rsidR="000B3A8C" w:rsidRDefault="000B3A8C" w:rsidP="00AE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3B" w:rsidRDefault="00866E6D">
    <w:pPr>
      <w:pStyle w:val="Footer"/>
    </w:pPr>
    <w:r>
      <w:rPr>
        <w:noProof/>
      </w:rPr>
      <mc:AlternateContent>
        <mc:Choice Requires="wpg">
          <w:drawing>
            <wp:anchor distT="0" distB="0" distL="114300" distR="114300" simplePos="0" relativeHeight="251657728" behindDoc="0" locked="0" layoutInCell="1" allowOverlap="1" wp14:anchorId="6B44B8CA">
              <wp:simplePos x="0" y="0"/>
              <wp:positionH relativeFrom="page">
                <wp:align>center</wp:align>
              </wp:positionH>
              <wp:positionV relativeFrom="line">
                <wp:align>top</wp:align>
              </wp:positionV>
              <wp:extent cx="7366635" cy="347345"/>
              <wp:effectExtent l="0" t="0" r="5715" b="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4" name="Rectangle 2"/>
                      <wps:cNvSpPr>
                        <a:spLocks noChangeArrowheads="1"/>
                      </wps:cNvSpPr>
                      <wps:spPr bwMode="auto">
                        <a:xfrm>
                          <a:off x="374" y="14903"/>
                          <a:ext cx="9346" cy="432"/>
                        </a:xfrm>
                        <a:prstGeom prst="rect">
                          <a:avLst/>
                        </a:prstGeom>
                        <a:solidFill>
                          <a:srgbClr val="9FE6FF"/>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47223B" w:rsidRPr="00B16B44" w:rsidRDefault="0047223B" w:rsidP="00BE45D7">
                            <w:pPr>
                              <w:pStyle w:val="Footer"/>
                              <w:jc w:val="center"/>
                              <w:rPr>
                                <w:spacing w:val="60"/>
                              </w:rPr>
                            </w:pPr>
                            <w:r>
                              <w:rPr>
                                <w:spacing w:val="60"/>
                              </w:rPr>
                              <w:t xml:space="preserve"> FINAL 15 Dec 2016</w:t>
                            </w:r>
                          </w:p>
                          <w:p w:rsidR="0047223B" w:rsidRPr="003D36AC" w:rsidRDefault="0047223B">
                            <w:pPr>
                              <w:pStyle w:val="Header"/>
                              <w:rPr>
                                <w:color w:val="FFFFFF"/>
                              </w:rPr>
                            </w:pPr>
                          </w:p>
                        </w:txbxContent>
                      </wps:txbx>
                      <wps:bodyPr rot="0" vert="horz" wrap="square" lIns="91440" tIns="45720" rIns="91440" bIns="45720" anchor="t" anchorCtr="0" upright="1">
                        <a:noAutofit/>
                      </wps:bodyPr>
                    </wps:wsp>
                    <wps:wsp>
                      <wps:cNvPr id="5" name="Rectangle 3"/>
                      <wps:cNvSpPr>
                        <a:spLocks noChangeArrowheads="1"/>
                      </wps:cNvSpPr>
                      <wps:spPr bwMode="auto">
                        <a:xfrm>
                          <a:off x="9763" y="14903"/>
                          <a:ext cx="2102" cy="432"/>
                        </a:xfrm>
                        <a:prstGeom prst="rect">
                          <a:avLst/>
                        </a:prstGeom>
                        <a:solidFill>
                          <a:srgbClr val="9FE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23B" w:rsidRPr="00B16B44" w:rsidRDefault="0047223B">
                            <w:pPr>
                              <w:pStyle w:val="Footer"/>
                            </w:pPr>
                            <w:r w:rsidRPr="00B16B44">
                              <w:t xml:space="preserve">Page </w:t>
                            </w:r>
                            <w:r w:rsidR="009B008E">
                              <w:fldChar w:fldCharType="begin"/>
                            </w:r>
                            <w:r w:rsidR="009B008E">
                              <w:instrText xml:space="preserve"> PAGE   \* MERGEFORMAT </w:instrText>
                            </w:r>
                            <w:r w:rsidR="009B008E">
                              <w:fldChar w:fldCharType="separate"/>
                            </w:r>
                            <w:r w:rsidR="00972BDE">
                              <w:rPr>
                                <w:noProof/>
                              </w:rPr>
                              <w:t>5</w:t>
                            </w:r>
                            <w:r w:rsidR="009B008E">
                              <w:rPr>
                                <w:noProof/>
                              </w:rPr>
                              <w:fldChar w:fldCharType="end"/>
                            </w:r>
                          </w:p>
                        </w:txbxContent>
                      </wps:txbx>
                      <wps:bodyPr rot="0" vert="horz" wrap="square" lIns="91440" tIns="45720" rIns="91440" bIns="45720" anchor="t" anchorCtr="0" upright="1">
                        <a:noAutofit/>
                      </wps:bodyPr>
                    </wps:wsp>
                    <wps:wsp>
                      <wps:cNvPr id="6"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4B8CA" id="Group 1" o:spid="_x0000_s1026"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" fillcolor="#9fe6ff" stroked="f" strokecolor="#943634">
                <v:textbox>
                  <w:txbxContent>
                    <w:p w:rsidR="0047223B" w:rsidRPr="00B16B44" w:rsidRDefault="0047223B" w:rsidP="00BE45D7">
                      <w:pPr>
                        <w:pStyle w:val="Footer"/>
                        <w:jc w:val="center"/>
                        <w:rPr>
                          <w:spacing w:val="60"/>
                        </w:rPr>
                      </w:pPr>
                      <w:r>
                        <w:rPr>
                          <w:spacing w:val="60"/>
                        </w:rPr>
                        <w:t xml:space="preserve"> FINAL 15 Dec 2016</w:t>
                      </w:r>
                    </w:p>
                    <w:p w:rsidR="0047223B" w:rsidRPr="003D36AC" w:rsidRDefault="0047223B">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" fillcolor="#9fe6ff" stroked="f">
                <v:textbox>
                  <w:txbxContent>
                    <w:p w:rsidR="0047223B" w:rsidRPr="00B16B44" w:rsidRDefault="0047223B">
                      <w:pPr>
                        <w:pStyle w:val="Footer"/>
                      </w:pPr>
                      <w:r w:rsidRPr="00B16B44">
                        <w:t xml:space="preserve">Page </w:t>
                      </w:r>
                      <w:r w:rsidR="009B008E">
                        <w:fldChar w:fldCharType="begin"/>
                      </w:r>
                      <w:r w:rsidR="009B008E">
                        <w:instrText xml:space="preserve"> PAGE   \* MERGEFORMAT </w:instrText>
                      </w:r>
                      <w:r w:rsidR="009B008E">
                        <w:fldChar w:fldCharType="separate"/>
                      </w:r>
                      <w:r w:rsidR="00972BDE">
                        <w:rPr>
                          <w:noProof/>
                        </w:rPr>
                        <w:t>5</w:t>
                      </w:r>
                      <w:r w:rsidR="009B008E">
                        <w:rPr>
                          <w:noProof/>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8C" w:rsidRDefault="000B3A8C" w:rsidP="00AE4887">
      <w:r>
        <w:separator/>
      </w:r>
    </w:p>
  </w:footnote>
  <w:footnote w:type="continuationSeparator" w:id="0">
    <w:p w:rsidR="000B3A8C" w:rsidRDefault="000B3A8C" w:rsidP="00AE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54" w:tblpY="365"/>
      <w:tblW w:w="9918" w:type="dxa"/>
      <w:tblLayout w:type="fixed"/>
      <w:tblLook w:val="0000" w:firstRow="0" w:lastRow="0" w:firstColumn="0" w:lastColumn="0" w:noHBand="0" w:noVBand="0"/>
    </w:tblPr>
    <w:tblGrid>
      <w:gridCol w:w="3420"/>
      <w:gridCol w:w="6498"/>
    </w:tblGrid>
    <w:tr w:rsidR="0047223B" w:rsidRPr="00284F0D" w:rsidTr="00C55B62">
      <w:tc>
        <w:tcPr>
          <w:tcW w:w="3420" w:type="dxa"/>
          <w:vAlign w:val="bottom"/>
        </w:tcPr>
        <w:p w:rsidR="0047223B" w:rsidRPr="00284F0D" w:rsidRDefault="0047223B" w:rsidP="00C55B6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szCs w:val="20"/>
            </w:rPr>
          </w:pPr>
          <w:r>
            <w:rPr>
              <w:noProof/>
            </w:rPr>
            <w:drawing>
              <wp:inline distT="0" distB="0" distL="0" distR="0">
                <wp:extent cx="1583055" cy="1132840"/>
                <wp:effectExtent l="0" t="0" r="0" b="0"/>
                <wp:docPr id="1" name="Picture 1" descr="AR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TLogo"/>
                        <pic:cNvPicPr>
                          <a:picLocks noChangeAspect="1" noChangeArrowheads="1"/>
                        </pic:cNvPicPr>
                      </pic:nvPicPr>
                      <pic:blipFill>
                        <a:blip r:embed="rId1"/>
                        <a:srcRect/>
                        <a:stretch>
                          <a:fillRect/>
                        </a:stretch>
                      </pic:blipFill>
                      <pic:spPr bwMode="auto">
                        <a:xfrm>
                          <a:off x="0" y="0"/>
                          <a:ext cx="1583055" cy="1132840"/>
                        </a:xfrm>
                        <a:prstGeom prst="rect">
                          <a:avLst/>
                        </a:prstGeom>
                        <a:noFill/>
                        <a:ln w="9525">
                          <a:noFill/>
                          <a:miter lim="800000"/>
                          <a:headEnd/>
                          <a:tailEnd/>
                        </a:ln>
                      </pic:spPr>
                    </pic:pic>
                  </a:graphicData>
                </a:graphic>
              </wp:inline>
            </w:drawing>
          </w:r>
        </w:p>
      </w:tc>
      <w:tc>
        <w:tcPr>
          <w:tcW w:w="6498" w:type="dxa"/>
          <w:vAlign w:val="center"/>
        </w:tcPr>
        <w:p w:rsidR="0047223B" w:rsidRDefault="0047223B" w:rsidP="00C55B6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120"/>
            <w:jc w:val="center"/>
            <w:rPr>
              <w:rFonts w:ascii="Arial" w:hAnsi="Arial"/>
              <w:b/>
            </w:rPr>
          </w:pPr>
        </w:p>
        <w:p w:rsidR="0047223B" w:rsidRDefault="0047223B" w:rsidP="00D00F78">
          <w:pPr>
            <w:rPr>
              <w:b/>
              <w:sz w:val="32"/>
              <w:szCs w:val="32"/>
            </w:rPr>
          </w:pPr>
          <w:smartTag w:uri="urn:schemas-microsoft-com:office:smarttags" w:element="place">
            <w:smartTag w:uri="urn:schemas-microsoft-com:office:smarttags" w:element="State">
              <w:r w:rsidRPr="00733724">
                <w:rPr>
                  <w:b/>
                  <w:sz w:val="32"/>
                  <w:szCs w:val="32"/>
                </w:rPr>
                <w:t>Alaska</w:t>
              </w:r>
            </w:smartTag>
          </w:smartTag>
          <w:r w:rsidRPr="00733724">
            <w:rPr>
              <w:b/>
              <w:sz w:val="32"/>
              <w:szCs w:val="32"/>
            </w:rPr>
            <w:t xml:space="preserve"> RRT </w:t>
          </w:r>
          <w:r>
            <w:rPr>
              <w:b/>
              <w:sz w:val="32"/>
              <w:szCs w:val="32"/>
            </w:rPr>
            <w:t xml:space="preserve">Biennial </w:t>
          </w:r>
          <w:r w:rsidRPr="00733724">
            <w:rPr>
              <w:b/>
              <w:sz w:val="32"/>
              <w:szCs w:val="32"/>
            </w:rPr>
            <w:t>Work Plan</w:t>
          </w:r>
          <w:r>
            <w:rPr>
              <w:b/>
              <w:sz w:val="32"/>
              <w:szCs w:val="32"/>
            </w:rPr>
            <w:t xml:space="preserve"> </w:t>
          </w:r>
        </w:p>
        <w:p w:rsidR="0047223B" w:rsidRPr="00733724" w:rsidRDefault="0047223B" w:rsidP="00D00F78">
          <w:pPr>
            <w:rPr>
              <w:b/>
              <w:sz w:val="32"/>
              <w:szCs w:val="32"/>
            </w:rPr>
          </w:pPr>
          <w:r>
            <w:rPr>
              <w:b/>
              <w:sz w:val="32"/>
              <w:szCs w:val="32"/>
            </w:rPr>
            <w:t>Calendar Years 2017 - 2018</w:t>
          </w:r>
        </w:p>
        <w:p w:rsidR="0047223B" w:rsidRPr="00284F0D" w:rsidRDefault="0047223B" w:rsidP="00C55B6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120"/>
            <w:jc w:val="center"/>
            <w:rPr>
              <w:rFonts w:ascii="Arial" w:hAnsi="Arial"/>
              <w:szCs w:val="20"/>
            </w:rPr>
          </w:pPr>
        </w:p>
      </w:tc>
    </w:tr>
  </w:tbl>
  <w:p w:rsidR="0047223B" w:rsidRDefault="0047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2F4"/>
    <w:multiLevelType w:val="hybridMultilevel"/>
    <w:tmpl w:val="DC2AD752"/>
    <w:lvl w:ilvl="0" w:tplc="3A9E43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914A53"/>
    <w:multiLevelType w:val="hybridMultilevel"/>
    <w:tmpl w:val="D17E46DC"/>
    <w:lvl w:ilvl="0" w:tplc="FF8C51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0AAA"/>
    <w:multiLevelType w:val="hybridMultilevel"/>
    <w:tmpl w:val="8F5640AC"/>
    <w:lvl w:ilvl="0" w:tplc="FF8C51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65C17"/>
    <w:multiLevelType w:val="hybridMultilevel"/>
    <w:tmpl w:val="77489A92"/>
    <w:lvl w:ilvl="0" w:tplc="FF8C51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7245E"/>
    <w:multiLevelType w:val="multilevel"/>
    <w:tmpl w:val="01EAC18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CD826D3"/>
    <w:multiLevelType w:val="hybridMultilevel"/>
    <w:tmpl w:val="EC2C07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68A1ADC"/>
    <w:multiLevelType w:val="hybridMultilevel"/>
    <w:tmpl w:val="4D5AD050"/>
    <w:lvl w:ilvl="0" w:tplc="FF8C51C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530DD3"/>
    <w:multiLevelType w:val="hybridMultilevel"/>
    <w:tmpl w:val="DDBE76FE"/>
    <w:lvl w:ilvl="0" w:tplc="FF8C51CC">
      <w:start w:val="1"/>
      <w:numFmt w:val="bullet"/>
      <w:lvlText w:val=""/>
      <w:lvlJc w:val="left"/>
      <w:pPr>
        <w:ind w:left="99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6204B05C">
      <w:start w:val="1"/>
      <w:numFmt w:val="bullet"/>
      <w:lvlText w:val="o"/>
      <w:lvlJc w:val="left"/>
      <w:pPr>
        <w:tabs>
          <w:tab w:val="num" w:pos="2880"/>
        </w:tabs>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4E0526"/>
    <w:multiLevelType w:val="hybridMultilevel"/>
    <w:tmpl w:val="A356B2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570298B"/>
    <w:multiLevelType w:val="hybridMultilevel"/>
    <w:tmpl w:val="88BE6E24"/>
    <w:lvl w:ilvl="0" w:tplc="4BAA3A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A3E6A6F"/>
    <w:multiLevelType w:val="hybridMultilevel"/>
    <w:tmpl w:val="C6C4CCFE"/>
    <w:lvl w:ilvl="0" w:tplc="FF8C51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D1626"/>
    <w:multiLevelType w:val="hybridMultilevel"/>
    <w:tmpl w:val="B4E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44315"/>
    <w:multiLevelType w:val="hybridMultilevel"/>
    <w:tmpl w:val="7B3AC2D8"/>
    <w:lvl w:ilvl="0" w:tplc="FF8C51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E021D"/>
    <w:multiLevelType w:val="hybridMultilevel"/>
    <w:tmpl w:val="7482128E"/>
    <w:lvl w:ilvl="0" w:tplc="FF8C51C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BE608E"/>
    <w:multiLevelType w:val="hybridMultilevel"/>
    <w:tmpl w:val="01EAC18E"/>
    <w:lvl w:ilvl="0" w:tplc="6204B05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87C6307"/>
    <w:multiLevelType w:val="hybridMultilevel"/>
    <w:tmpl w:val="94D8CD9A"/>
    <w:lvl w:ilvl="0" w:tplc="FF8C51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57A6E"/>
    <w:multiLevelType w:val="hybridMultilevel"/>
    <w:tmpl w:val="42A4F24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F0536C"/>
    <w:multiLevelType w:val="hybridMultilevel"/>
    <w:tmpl w:val="22185868"/>
    <w:lvl w:ilvl="0" w:tplc="FF8C51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5"/>
  </w:num>
  <w:num w:numId="4">
    <w:abstractNumId w:val="7"/>
  </w:num>
  <w:num w:numId="5">
    <w:abstractNumId w:val="6"/>
  </w:num>
  <w:num w:numId="6">
    <w:abstractNumId w:val="1"/>
  </w:num>
  <w:num w:numId="7">
    <w:abstractNumId w:val="10"/>
  </w:num>
  <w:num w:numId="8">
    <w:abstractNumId w:val="14"/>
  </w:num>
  <w:num w:numId="9">
    <w:abstractNumId w:val="4"/>
  </w:num>
  <w:num w:numId="10">
    <w:abstractNumId w:val="11"/>
  </w:num>
  <w:num w:numId="11">
    <w:abstractNumId w:val="2"/>
  </w:num>
  <w:num w:numId="12">
    <w:abstractNumId w:val="17"/>
  </w:num>
  <w:num w:numId="13">
    <w:abstractNumId w:val="13"/>
  </w:num>
  <w:num w:numId="14">
    <w:abstractNumId w:val="16"/>
  </w:num>
  <w:num w:numId="15">
    <w:abstractNumId w:val="8"/>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37"/>
    <w:rsid w:val="00000FAD"/>
    <w:rsid w:val="00001B5E"/>
    <w:rsid w:val="000118E4"/>
    <w:rsid w:val="00015D34"/>
    <w:rsid w:val="00020B26"/>
    <w:rsid w:val="00022F4C"/>
    <w:rsid w:val="0002635F"/>
    <w:rsid w:val="00027C19"/>
    <w:rsid w:val="0003132B"/>
    <w:rsid w:val="00034154"/>
    <w:rsid w:val="00041689"/>
    <w:rsid w:val="0004281A"/>
    <w:rsid w:val="00043A26"/>
    <w:rsid w:val="00044546"/>
    <w:rsid w:val="000459D1"/>
    <w:rsid w:val="00046773"/>
    <w:rsid w:val="00053A50"/>
    <w:rsid w:val="0005773C"/>
    <w:rsid w:val="00086088"/>
    <w:rsid w:val="000917A1"/>
    <w:rsid w:val="00091BBF"/>
    <w:rsid w:val="000A16C8"/>
    <w:rsid w:val="000A1EBA"/>
    <w:rsid w:val="000A4116"/>
    <w:rsid w:val="000B1353"/>
    <w:rsid w:val="000B3A8C"/>
    <w:rsid w:val="000B3CC0"/>
    <w:rsid w:val="000B42B4"/>
    <w:rsid w:val="000B7E60"/>
    <w:rsid w:val="000C4C5A"/>
    <w:rsid w:val="000D6C2D"/>
    <w:rsid w:val="000E062E"/>
    <w:rsid w:val="000E0B22"/>
    <w:rsid w:val="000E6DE7"/>
    <w:rsid w:val="000E748F"/>
    <w:rsid w:val="000E76D9"/>
    <w:rsid w:val="000F7726"/>
    <w:rsid w:val="00102ED7"/>
    <w:rsid w:val="00110439"/>
    <w:rsid w:val="00121283"/>
    <w:rsid w:val="00124845"/>
    <w:rsid w:val="00131846"/>
    <w:rsid w:val="001334D0"/>
    <w:rsid w:val="00135AEC"/>
    <w:rsid w:val="00142029"/>
    <w:rsid w:val="00143665"/>
    <w:rsid w:val="001469A4"/>
    <w:rsid w:val="00147ADC"/>
    <w:rsid w:val="0015467E"/>
    <w:rsid w:val="00157D82"/>
    <w:rsid w:val="00164970"/>
    <w:rsid w:val="00164E36"/>
    <w:rsid w:val="00171165"/>
    <w:rsid w:val="0017203E"/>
    <w:rsid w:val="00172F61"/>
    <w:rsid w:val="001743BD"/>
    <w:rsid w:val="001758F2"/>
    <w:rsid w:val="001763DB"/>
    <w:rsid w:val="001834E9"/>
    <w:rsid w:val="00184201"/>
    <w:rsid w:val="001850A7"/>
    <w:rsid w:val="001918C7"/>
    <w:rsid w:val="00193AB7"/>
    <w:rsid w:val="001943F8"/>
    <w:rsid w:val="001A0B94"/>
    <w:rsid w:val="001A454C"/>
    <w:rsid w:val="001A4B24"/>
    <w:rsid w:val="001A5F1F"/>
    <w:rsid w:val="001B45CC"/>
    <w:rsid w:val="001B72F7"/>
    <w:rsid w:val="001F0A0A"/>
    <w:rsid w:val="001F147E"/>
    <w:rsid w:val="001F3C35"/>
    <w:rsid w:val="001F5949"/>
    <w:rsid w:val="001F7376"/>
    <w:rsid w:val="002049EB"/>
    <w:rsid w:val="002149F9"/>
    <w:rsid w:val="0021615D"/>
    <w:rsid w:val="00216FA1"/>
    <w:rsid w:val="00230665"/>
    <w:rsid w:val="00235B9A"/>
    <w:rsid w:val="0024503A"/>
    <w:rsid w:val="00245496"/>
    <w:rsid w:val="0024674A"/>
    <w:rsid w:val="002531C6"/>
    <w:rsid w:val="0025427C"/>
    <w:rsid w:val="00270148"/>
    <w:rsid w:val="00273697"/>
    <w:rsid w:val="00281178"/>
    <w:rsid w:val="00284F0D"/>
    <w:rsid w:val="002870BB"/>
    <w:rsid w:val="00291B91"/>
    <w:rsid w:val="00296F61"/>
    <w:rsid w:val="002A157A"/>
    <w:rsid w:val="002A5DAC"/>
    <w:rsid w:val="002A6932"/>
    <w:rsid w:val="002B0138"/>
    <w:rsid w:val="002B0A90"/>
    <w:rsid w:val="002B2B4F"/>
    <w:rsid w:val="002B78E4"/>
    <w:rsid w:val="002C76D8"/>
    <w:rsid w:val="002D2A1E"/>
    <w:rsid w:val="002D7965"/>
    <w:rsid w:val="002E32BD"/>
    <w:rsid w:val="002F2110"/>
    <w:rsid w:val="002F26E8"/>
    <w:rsid w:val="002F5548"/>
    <w:rsid w:val="002F561C"/>
    <w:rsid w:val="003003A1"/>
    <w:rsid w:val="0030059F"/>
    <w:rsid w:val="00303752"/>
    <w:rsid w:val="003037A1"/>
    <w:rsid w:val="00316330"/>
    <w:rsid w:val="003204B5"/>
    <w:rsid w:val="00324D4A"/>
    <w:rsid w:val="00330A86"/>
    <w:rsid w:val="003326DF"/>
    <w:rsid w:val="00336225"/>
    <w:rsid w:val="00337A76"/>
    <w:rsid w:val="00340479"/>
    <w:rsid w:val="0034609F"/>
    <w:rsid w:val="00352253"/>
    <w:rsid w:val="00353214"/>
    <w:rsid w:val="0036194F"/>
    <w:rsid w:val="00362DDC"/>
    <w:rsid w:val="00363419"/>
    <w:rsid w:val="003641B2"/>
    <w:rsid w:val="00364238"/>
    <w:rsid w:val="00365DFE"/>
    <w:rsid w:val="00374666"/>
    <w:rsid w:val="003811F2"/>
    <w:rsid w:val="003907BA"/>
    <w:rsid w:val="00394186"/>
    <w:rsid w:val="00394425"/>
    <w:rsid w:val="0039492B"/>
    <w:rsid w:val="00396FA1"/>
    <w:rsid w:val="00397728"/>
    <w:rsid w:val="003A48D5"/>
    <w:rsid w:val="003A660D"/>
    <w:rsid w:val="003B5611"/>
    <w:rsid w:val="003C6770"/>
    <w:rsid w:val="003D36AC"/>
    <w:rsid w:val="003D3E1B"/>
    <w:rsid w:val="003D4ACB"/>
    <w:rsid w:val="003D5718"/>
    <w:rsid w:val="003D7C7A"/>
    <w:rsid w:val="003E27AA"/>
    <w:rsid w:val="003E6753"/>
    <w:rsid w:val="003E6EAA"/>
    <w:rsid w:val="003F5B26"/>
    <w:rsid w:val="003F6EA2"/>
    <w:rsid w:val="003F7376"/>
    <w:rsid w:val="004010EB"/>
    <w:rsid w:val="00403FFB"/>
    <w:rsid w:val="00404493"/>
    <w:rsid w:val="00406158"/>
    <w:rsid w:val="004074FD"/>
    <w:rsid w:val="004100F1"/>
    <w:rsid w:val="004130BD"/>
    <w:rsid w:val="0041662A"/>
    <w:rsid w:val="00423859"/>
    <w:rsid w:val="0042482D"/>
    <w:rsid w:val="004254D2"/>
    <w:rsid w:val="004264E5"/>
    <w:rsid w:val="004339FC"/>
    <w:rsid w:val="0044120D"/>
    <w:rsid w:val="004422EE"/>
    <w:rsid w:val="0046558D"/>
    <w:rsid w:val="004655C4"/>
    <w:rsid w:val="00466598"/>
    <w:rsid w:val="0047223B"/>
    <w:rsid w:val="004842B7"/>
    <w:rsid w:val="00487B9B"/>
    <w:rsid w:val="00494793"/>
    <w:rsid w:val="0049752B"/>
    <w:rsid w:val="004A36F4"/>
    <w:rsid w:val="004A3C7D"/>
    <w:rsid w:val="004A6509"/>
    <w:rsid w:val="004C5B5C"/>
    <w:rsid w:val="004D36E1"/>
    <w:rsid w:val="004D3DA4"/>
    <w:rsid w:val="004E039B"/>
    <w:rsid w:val="004E518B"/>
    <w:rsid w:val="004F4954"/>
    <w:rsid w:val="0050078C"/>
    <w:rsid w:val="00505E1A"/>
    <w:rsid w:val="00507FAA"/>
    <w:rsid w:val="00513712"/>
    <w:rsid w:val="00521282"/>
    <w:rsid w:val="005243C2"/>
    <w:rsid w:val="00525A1F"/>
    <w:rsid w:val="00527B61"/>
    <w:rsid w:val="00533C7D"/>
    <w:rsid w:val="00534F32"/>
    <w:rsid w:val="005407EF"/>
    <w:rsid w:val="00546CA5"/>
    <w:rsid w:val="005708A0"/>
    <w:rsid w:val="00570CFD"/>
    <w:rsid w:val="0057156A"/>
    <w:rsid w:val="00574618"/>
    <w:rsid w:val="00576518"/>
    <w:rsid w:val="00583DF1"/>
    <w:rsid w:val="00584CB5"/>
    <w:rsid w:val="00587189"/>
    <w:rsid w:val="005938E8"/>
    <w:rsid w:val="0059534A"/>
    <w:rsid w:val="005A6E33"/>
    <w:rsid w:val="005B0559"/>
    <w:rsid w:val="005C1D9A"/>
    <w:rsid w:val="005D21BF"/>
    <w:rsid w:val="005D631B"/>
    <w:rsid w:val="005E086E"/>
    <w:rsid w:val="005E29BE"/>
    <w:rsid w:val="005E5E3A"/>
    <w:rsid w:val="005F4F12"/>
    <w:rsid w:val="006003CA"/>
    <w:rsid w:val="006057E8"/>
    <w:rsid w:val="00613CA5"/>
    <w:rsid w:val="00614FCF"/>
    <w:rsid w:val="006272B5"/>
    <w:rsid w:val="006278D1"/>
    <w:rsid w:val="00633682"/>
    <w:rsid w:val="00641B79"/>
    <w:rsid w:val="00645CA9"/>
    <w:rsid w:val="00645EE9"/>
    <w:rsid w:val="00650BA8"/>
    <w:rsid w:val="006534AA"/>
    <w:rsid w:val="006543F1"/>
    <w:rsid w:val="00657473"/>
    <w:rsid w:val="00657B86"/>
    <w:rsid w:val="00660C5B"/>
    <w:rsid w:val="00663994"/>
    <w:rsid w:val="006670B3"/>
    <w:rsid w:val="00673F3E"/>
    <w:rsid w:val="00683A8E"/>
    <w:rsid w:val="006906C0"/>
    <w:rsid w:val="00690E82"/>
    <w:rsid w:val="0069271F"/>
    <w:rsid w:val="00695A1D"/>
    <w:rsid w:val="006A14AA"/>
    <w:rsid w:val="006A4428"/>
    <w:rsid w:val="006A5970"/>
    <w:rsid w:val="006A6F7B"/>
    <w:rsid w:val="006A7779"/>
    <w:rsid w:val="006B3A69"/>
    <w:rsid w:val="006C2A48"/>
    <w:rsid w:val="006C3653"/>
    <w:rsid w:val="006C4041"/>
    <w:rsid w:val="006C4116"/>
    <w:rsid w:val="006D1871"/>
    <w:rsid w:val="006E26A9"/>
    <w:rsid w:val="006F1DC3"/>
    <w:rsid w:val="006F2D98"/>
    <w:rsid w:val="00702FE9"/>
    <w:rsid w:val="00716478"/>
    <w:rsid w:val="0072556E"/>
    <w:rsid w:val="00733724"/>
    <w:rsid w:val="0074127D"/>
    <w:rsid w:val="007414E8"/>
    <w:rsid w:val="00745652"/>
    <w:rsid w:val="007478A7"/>
    <w:rsid w:val="0075439D"/>
    <w:rsid w:val="007571F8"/>
    <w:rsid w:val="00765D49"/>
    <w:rsid w:val="00765ED7"/>
    <w:rsid w:val="00775154"/>
    <w:rsid w:val="00776122"/>
    <w:rsid w:val="0078330A"/>
    <w:rsid w:val="00786572"/>
    <w:rsid w:val="007906A6"/>
    <w:rsid w:val="007A01C3"/>
    <w:rsid w:val="007A052B"/>
    <w:rsid w:val="007A4F2E"/>
    <w:rsid w:val="007A7642"/>
    <w:rsid w:val="007B1534"/>
    <w:rsid w:val="007B7E2D"/>
    <w:rsid w:val="007C72AC"/>
    <w:rsid w:val="007D2CCE"/>
    <w:rsid w:val="007D3E29"/>
    <w:rsid w:val="007E3941"/>
    <w:rsid w:val="00804668"/>
    <w:rsid w:val="00811CDE"/>
    <w:rsid w:val="00812FD7"/>
    <w:rsid w:val="008177C9"/>
    <w:rsid w:val="00823D0A"/>
    <w:rsid w:val="00853DD5"/>
    <w:rsid w:val="00854AD6"/>
    <w:rsid w:val="00866E6D"/>
    <w:rsid w:val="008678F6"/>
    <w:rsid w:val="00884DFA"/>
    <w:rsid w:val="008A74E8"/>
    <w:rsid w:val="008B3BEA"/>
    <w:rsid w:val="008B5431"/>
    <w:rsid w:val="008B77B3"/>
    <w:rsid w:val="008C0F10"/>
    <w:rsid w:val="008C27A9"/>
    <w:rsid w:val="008C70E9"/>
    <w:rsid w:val="008D51A9"/>
    <w:rsid w:val="008E3336"/>
    <w:rsid w:val="008E752E"/>
    <w:rsid w:val="008F34E6"/>
    <w:rsid w:val="00904950"/>
    <w:rsid w:val="00910142"/>
    <w:rsid w:val="00917831"/>
    <w:rsid w:val="009204C4"/>
    <w:rsid w:val="00922125"/>
    <w:rsid w:val="009273DC"/>
    <w:rsid w:val="0093177E"/>
    <w:rsid w:val="009403B7"/>
    <w:rsid w:val="009479AE"/>
    <w:rsid w:val="009500A9"/>
    <w:rsid w:val="00950D8B"/>
    <w:rsid w:val="00951707"/>
    <w:rsid w:val="00956B11"/>
    <w:rsid w:val="00961B66"/>
    <w:rsid w:val="00963E1B"/>
    <w:rsid w:val="00965CDF"/>
    <w:rsid w:val="00967FEB"/>
    <w:rsid w:val="00972BDE"/>
    <w:rsid w:val="0097458F"/>
    <w:rsid w:val="009775F0"/>
    <w:rsid w:val="009821BD"/>
    <w:rsid w:val="00982B24"/>
    <w:rsid w:val="00985A3B"/>
    <w:rsid w:val="009876C4"/>
    <w:rsid w:val="009923C4"/>
    <w:rsid w:val="00992514"/>
    <w:rsid w:val="009945A4"/>
    <w:rsid w:val="00995E55"/>
    <w:rsid w:val="009A0A9F"/>
    <w:rsid w:val="009A3B8C"/>
    <w:rsid w:val="009A3D09"/>
    <w:rsid w:val="009A61CE"/>
    <w:rsid w:val="009B008E"/>
    <w:rsid w:val="009B796B"/>
    <w:rsid w:val="009C2F6C"/>
    <w:rsid w:val="009D741A"/>
    <w:rsid w:val="009E1A2F"/>
    <w:rsid w:val="009E585F"/>
    <w:rsid w:val="00A12CA2"/>
    <w:rsid w:val="00A16A9D"/>
    <w:rsid w:val="00A20200"/>
    <w:rsid w:val="00A25C85"/>
    <w:rsid w:val="00A31187"/>
    <w:rsid w:val="00A33DAD"/>
    <w:rsid w:val="00A40612"/>
    <w:rsid w:val="00A47BF4"/>
    <w:rsid w:val="00A56500"/>
    <w:rsid w:val="00A60322"/>
    <w:rsid w:val="00A605E4"/>
    <w:rsid w:val="00A67E6F"/>
    <w:rsid w:val="00A75F6F"/>
    <w:rsid w:val="00A85458"/>
    <w:rsid w:val="00A8738A"/>
    <w:rsid w:val="00A92263"/>
    <w:rsid w:val="00A92ADA"/>
    <w:rsid w:val="00A961B2"/>
    <w:rsid w:val="00AA3B37"/>
    <w:rsid w:val="00AA7C20"/>
    <w:rsid w:val="00AB28AD"/>
    <w:rsid w:val="00AB7719"/>
    <w:rsid w:val="00AC0702"/>
    <w:rsid w:val="00AC4967"/>
    <w:rsid w:val="00AD418D"/>
    <w:rsid w:val="00AD66A7"/>
    <w:rsid w:val="00AE2533"/>
    <w:rsid w:val="00AE4887"/>
    <w:rsid w:val="00AE6C7C"/>
    <w:rsid w:val="00B05DC4"/>
    <w:rsid w:val="00B06A3F"/>
    <w:rsid w:val="00B0736C"/>
    <w:rsid w:val="00B14D55"/>
    <w:rsid w:val="00B16B44"/>
    <w:rsid w:val="00B1707A"/>
    <w:rsid w:val="00B175DE"/>
    <w:rsid w:val="00B175E2"/>
    <w:rsid w:val="00B20452"/>
    <w:rsid w:val="00B306BE"/>
    <w:rsid w:val="00B321E7"/>
    <w:rsid w:val="00B342BE"/>
    <w:rsid w:val="00B41F17"/>
    <w:rsid w:val="00B43D65"/>
    <w:rsid w:val="00B458C7"/>
    <w:rsid w:val="00B47049"/>
    <w:rsid w:val="00B52F15"/>
    <w:rsid w:val="00B54DB0"/>
    <w:rsid w:val="00B55226"/>
    <w:rsid w:val="00B563B4"/>
    <w:rsid w:val="00B61765"/>
    <w:rsid w:val="00B673E6"/>
    <w:rsid w:val="00B87080"/>
    <w:rsid w:val="00B90E92"/>
    <w:rsid w:val="00B92459"/>
    <w:rsid w:val="00B93922"/>
    <w:rsid w:val="00B97411"/>
    <w:rsid w:val="00BA599E"/>
    <w:rsid w:val="00BC1FDC"/>
    <w:rsid w:val="00BC7D81"/>
    <w:rsid w:val="00BE45D7"/>
    <w:rsid w:val="00BF06D8"/>
    <w:rsid w:val="00BF6120"/>
    <w:rsid w:val="00BF726C"/>
    <w:rsid w:val="00C00C82"/>
    <w:rsid w:val="00C03D03"/>
    <w:rsid w:val="00C04BF7"/>
    <w:rsid w:val="00C37AF5"/>
    <w:rsid w:val="00C4329A"/>
    <w:rsid w:val="00C44C11"/>
    <w:rsid w:val="00C50E6A"/>
    <w:rsid w:val="00C533CC"/>
    <w:rsid w:val="00C55B62"/>
    <w:rsid w:val="00C6028D"/>
    <w:rsid w:val="00C761BC"/>
    <w:rsid w:val="00C83E6B"/>
    <w:rsid w:val="00C91067"/>
    <w:rsid w:val="00C92E2B"/>
    <w:rsid w:val="00C953D8"/>
    <w:rsid w:val="00CA13F1"/>
    <w:rsid w:val="00CA4BDC"/>
    <w:rsid w:val="00CA5E24"/>
    <w:rsid w:val="00CD46C1"/>
    <w:rsid w:val="00CD4D75"/>
    <w:rsid w:val="00CD5E4D"/>
    <w:rsid w:val="00CE0044"/>
    <w:rsid w:val="00CE2BB8"/>
    <w:rsid w:val="00CF3CBA"/>
    <w:rsid w:val="00CF6039"/>
    <w:rsid w:val="00D00F78"/>
    <w:rsid w:val="00D01173"/>
    <w:rsid w:val="00D03379"/>
    <w:rsid w:val="00D14723"/>
    <w:rsid w:val="00D15B87"/>
    <w:rsid w:val="00D30706"/>
    <w:rsid w:val="00D30B0E"/>
    <w:rsid w:val="00D3252D"/>
    <w:rsid w:val="00D415E8"/>
    <w:rsid w:val="00D420AF"/>
    <w:rsid w:val="00D42D8C"/>
    <w:rsid w:val="00D45918"/>
    <w:rsid w:val="00D517CC"/>
    <w:rsid w:val="00D52585"/>
    <w:rsid w:val="00D530D1"/>
    <w:rsid w:val="00D53192"/>
    <w:rsid w:val="00D63C88"/>
    <w:rsid w:val="00D743F6"/>
    <w:rsid w:val="00D75E06"/>
    <w:rsid w:val="00D77AB5"/>
    <w:rsid w:val="00D77BD1"/>
    <w:rsid w:val="00D80BC6"/>
    <w:rsid w:val="00D863DB"/>
    <w:rsid w:val="00D86CCA"/>
    <w:rsid w:val="00D90F7E"/>
    <w:rsid w:val="00D9354D"/>
    <w:rsid w:val="00DA4F0D"/>
    <w:rsid w:val="00DB32B1"/>
    <w:rsid w:val="00DC468F"/>
    <w:rsid w:val="00DD07BB"/>
    <w:rsid w:val="00DE1617"/>
    <w:rsid w:val="00DE1ED2"/>
    <w:rsid w:val="00DF2AE6"/>
    <w:rsid w:val="00DF46E4"/>
    <w:rsid w:val="00DF72CC"/>
    <w:rsid w:val="00DF7BB8"/>
    <w:rsid w:val="00E07949"/>
    <w:rsid w:val="00E12772"/>
    <w:rsid w:val="00E14789"/>
    <w:rsid w:val="00E21DA3"/>
    <w:rsid w:val="00E251F2"/>
    <w:rsid w:val="00E26366"/>
    <w:rsid w:val="00E264A6"/>
    <w:rsid w:val="00E27B36"/>
    <w:rsid w:val="00E308EE"/>
    <w:rsid w:val="00E310F1"/>
    <w:rsid w:val="00E423CB"/>
    <w:rsid w:val="00E43643"/>
    <w:rsid w:val="00E44D0B"/>
    <w:rsid w:val="00E45AAC"/>
    <w:rsid w:val="00E460A2"/>
    <w:rsid w:val="00E55430"/>
    <w:rsid w:val="00E557FC"/>
    <w:rsid w:val="00E565B5"/>
    <w:rsid w:val="00E60207"/>
    <w:rsid w:val="00E61CD5"/>
    <w:rsid w:val="00E6296C"/>
    <w:rsid w:val="00E805B9"/>
    <w:rsid w:val="00E849DC"/>
    <w:rsid w:val="00E90A59"/>
    <w:rsid w:val="00E945AE"/>
    <w:rsid w:val="00EA2CF7"/>
    <w:rsid w:val="00EB58CF"/>
    <w:rsid w:val="00EC4529"/>
    <w:rsid w:val="00EC5819"/>
    <w:rsid w:val="00ED04CE"/>
    <w:rsid w:val="00ED2377"/>
    <w:rsid w:val="00ED2725"/>
    <w:rsid w:val="00ED5986"/>
    <w:rsid w:val="00EE385C"/>
    <w:rsid w:val="00EF30B1"/>
    <w:rsid w:val="00EF5576"/>
    <w:rsid w:val="00EF76FC"/>
    <w:rsid w:val="00F00D86"/>
    <w:rsid w:val="00F0354C"/>
    <w:rsid w:val="00F130F0"/>
    <w:rsid w:val="00F170BE"/>
    <w:rsid w:val="00F2251B"/>
    <w:rsid w:val="00F320C4"/>
    <w:rsid w:val="00F33DE6"/>
    <w:rsid w:val="00F34ACD"/>
    <w:rsid w:val="00F36BA5"/>
    <w:rsid w:val="00F40DAC"/>
    <w:rsid w:val="00F43254"/>
    <w:rsid w:val="00F50939"/>
    <w:rsid w:val="00F5102E"/>
    <w:rsid w:val="00F56D2F"/>
    <w:rsid w:val="00F575F5"/>
    <w:rsid w:val="00F635B3"/>
    <w:rsid w:val="00F672DF"/>
    <w:rsid w:val="00F673DC"/>
    <w:rsid w:val="00F71C38"/>
    <w:rsid w:val="00F86AF9"/>
    <w:rsid w:val="00F90361"/>
    <w:rsid w:val="00FA06CB"/>
    <w:rsid w:val="00FA2BE6"/>
    <w:rsid w:val="00FA5B5B"/>
    <w:rsid w:val="00FB00B1"/>
    <w:rsid w:val="00FB394A"/>
    <w:rsid w:val="00FB73D6"/>
    <w:rsid w:val="00FC0D85"/>
    <w:rsid w:val="00FC21F4"/>
    <w:rsid w:val="00FC5AE8"/>
    <w:rsid w:val="00FD79C4"/>
    <w:rsid w:val="00FE04F3"/>
    <w:rsid w:val="00FE11CC"/>
    <w:rsid w:val="00FE7F8F"/>
    <w:rsid w:val="00FF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716922B"/>
  <w15:docId w15:val="{E4B8B430-E777-4EAF-AD08-854B30A9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56500"/>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534A"/>
    <w:pPr>
      <w:ind w:left="720"/>
      <w:contextualSpacing/>
    </w:pPr>
  </w:style>
  <w:style w:type="paragraph" w:styleId="Header">
    <w:name w:val="header"/>
    <w:basedOn w:val="Normal"/>
    <w:link w:val="HeaderChar"/>
    <w:rsid w:val="00AE4887"/>
    <w:pPr>
      <w:tabs>
        <w:tab w:val="center" w:pos="4680"/>
        <w:tab w:val="right" w:pos="9360"/>
      </w:tabs>
    </w:pPr>
  </w:style>
  <w:style w:type="character" w:customStyle="1" w:styleId="HeaderChar">
    <w:name w:val="Header Char"/>
    <w:basedOn w:val="DefaultParagraphFont"/>
    <w:link w:val="Header"/>
    <w:locked/>
    <w:rsid w:val="00AE4887"/>
    <w:rPr>
      <w:rFonts w:cs="Times New Roman"/>
    </w:rPr>
  </w:style>
  <w:style w:type="paragraph" w:styleId="Footer">
    <w:name w:val="footer"/>
    <w:basedOn w:val="Normal"/>
    <w:link w:val="FooterChar"/>
    <w:rsid w:val="00AE4887"/>
    <w:pPr>
      <w:tabs>
        <w:tab w:val="center" w:pos="4680"/>
        <w:tab w:val="right" w:pos="9360"/>
      </w:tabs>
    </w:pPr>
  </w:style>
  <w:style w:type="character" w:customStyle="1" w:styleId="FooterChar">
    <w:name w:val="Footer Char"/>
    <w:basedOn w:val="DefaultParagraphFont"/>
    <w:link w:val="Footer"/>
    <w:locked/>
    <w:rsid w:val="00AE4887"/>
    <w:rPr>
      <w:rFonts w:cs="Times New Roman"/>
    </w:rPr>
  </w:style>
  <w:style w:type="paragraph" w:styleId="BalloonText">
    <w:name w:val="Balloon Text"/>
    <w:basedOn w:val="Normal"/>
    <w:link w:val="BalloonTextChar"/>
    <w:semiHidden/>
    <w:rsid w:val="00AE4887"/>
    <w:rPr>
      <w:rFonts w:ascii="Tahoma" w:hAnsi="Tahoma" w:cs="Tahoma"/>
      <w:sz w:val="16"/>
      <w:szCs w:val="16"/>
    </w:rPr>
  </w:style>
  <w:style w:type="character" w:customStyle="1" w:styleId="BalloonTextChar">
    <w:name w:val="Balloon Text Char"/>
    <w:basedOn w:val="DefaultParagraphFont"/>
    <w:link w:val="BalloonText"/>
    <w:semiHidden/>
    <w:locked/>
    <w:rsid w:val="00AE4887"/>
    <w:rPr>
      <w:rFonts w:ascii="Tahoma" w:hAnsi="Tahoma" w:cs="Tahoma"/>
      <w:sz w:val="16"/>
      <w:szCs w:val="16"/>
    </w:rPr>
  </w:style>
  <w:style w:type="character" w:styleId="CommentReference">
    <w:name w:val="annotation reference"/>
    <w:basedOn w:val="DefaultParagraphFont"/>
    <w:semiHidden/>
    <w:rsid w:val="008177C9"/>
    <w:rPr>
      <w:rFonts w:cs="Times New Roman"/>
      <w:sz w:val="16"/>
      <w:szCs w:val="16"/>
    </w:rPr>
  </w:style>
  <w:style w:type="paragraph" w:styleId="CommentText">
    <w:name w:val="annotation text"/>
    <w:basedOn w:val="Normal"/>
    <w:link w:val="CommentTextChar"/>
    <w:semiHidden/>
    <w:rsid w:val="008177C9"/>
    <w:rPr>
      <w:sz w:val="20"/>
      <w:szCs w:val="20"/>
    </w:rPr>
  </w:style>
  <w:style w:type="character" w:customStyle="1" w:styleId="CommentTextChar">
    <w:name w:val="Comment Text Char"/>
    <w:basedOn w:val="DefaultParagraphFont"/>
    <w:link w:val="CommentText"/>
    <w:semiHidden/>
    <w:locked/>
    <w:rsid w:val="008177C9"/>
    <w:rPr>
      <w:rFonts w:cs="Times New Roman"/>
    </w:rPr>
  </w:style>
  <w:style w:type="paragraph" w:styleId="CommentSubject">
    <w:name w:val="annotation subject"/>
    <w:basedOn w:val="CommentText"/>
    <w:next w:val="CommentText"/>
    <w:link w:val="CommentSubjectChar"/>
    <w:semiHidden/>
    <w:rsid w:val="008177C9"/>
    <w:rPr>
      <w:b/>
      <w:bCs/>
    </w:rPr>
  </w:style>
  <w:style w:type="character" w:customStyle="1" w:styleId="CommentSubjectChar">
    <w:name w:val="Comment Subject Char"/>
    <w:basedOn w:val="CommentTextChar"/>
    <w:link w:val="CommentSubject"/>
    <w:semiHidden/>
    <w:locked/>
    <w:rsid w:val="008177C9"/>
    <w:rPr>
      <w:rFonts w:cs="Times New Roman"/>
      <w:b/>
      <w:bCs/>
    </w:rPr>
  </w:style>
  <w:style w:type="character" w:styleId="FollowedHyperlink">
    <w:name w:val="FollowedHyperlink"/>
    <w:basedOn w:val="DefaultParagraphFont"/>
    <w:semiHidden/>
    <w:rsid w:val="00000FAD"/>
    <w:rPr>
      <w:rFonts w:cs="Times New Roman"/>
      <w:color w:val="800080"/>
      <w:u w:val="single"/>
    </w:rPr>
  </w:style>
  <w:style w:type="character" w:styleId="Hyperlink">
    <w:name w:val="Hyperlink"/>
    <w:basedOn w:val="DefaultParagraphFont"/>
    <w:unhideWhenUsed/>
    <w:rsid w:val="00D15B87"/>
    <w:rPr>
      <w:color w:val="0000FF" w:themeColor="hyperlink"/>
      <w:u w:val="single"/>
    </w:rPr>
  </w:style>
  <w:style w:type="paragraph" w:styleId="Revision">
    <w:name w:val="Revision"/>
    <w:hidden/>
    <w:uiPriority w:val="99"/>
    <w:semiHidden/>
    <w:rsid w:val="00951707"/>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private.alaskarrt.org/Calendar/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12905C-59A0-476D-81E7-CF2A798B7437}" type="doc">
      <dgm:prSet loTypeId="urn:microsoft.com/office/officeart/2005/8/layout/pyramid1" loCatId="pyramid" qsTypeId="urn:microsoft.com/office/officeart/2005/8/quickstyle/simple1" qsCatId="simple" csTypeId="urn:microsoft.com/office/officeart/2005/8/colors/accent1_2" csCatId="accent1" phldr="1"/>
      <dgm:spPr/>
    </dgm:pt>
    <dgm:pt modelId="{EE446406-AC01-497A-8527-40A9BF4404F7}">
      <dgm:prSet phldrT="[Text]"/>
      <dgm:spPr/>
      <dgm:t>
        <a:bodyPr/>
        <a:lstStyle/>
        <a:p>
          <a:r>
            <a:rPr lang="en-US"/>
            <a:t>Responsibilities (NCP-based)</a:t>
          </a:r>
        </a:p>
      </dgm:t>
    </dgm:pt>
    <dgm:pt modelId="{944BF44F-0DF1-48F3-A755-C6F61423DB5E}" type="parTrans" cxnId="{8C49CE0F-8313-4BA2-A8CD-4D9A62E76ED1}">
      <dgm:prSet/>
      <dgm:spPr/>
      <dgm:t>
        <a:bodyPr/>
        <a:lstStyle/>
        <a:p>
          <a:endParaRPr lang="en-US"/>
        </a:p>
      </dgm:t>
    </dgm:pt>
    <dgm:pt modelId="{8172221B-2F12-40BA-A473-9DA4B39A849D}" type="sibTrans" cxnId="{8C49CE0F-8313-4BA2-A8CD-4D9A62E76ED1}">
      <dgm:prSet/>
      <dgm:spPr/>
      <dgm:t>
        <a:bodyPr/>
        <a:lstStyle/>
        <a:p>
          <a:endParaRPr lang="en-US"/>
        </a:p>
      </dgm:t>
    </dgm:pt>
    <dgm:pt modelId="{0B0E4FD4-6F8E-4938-9A01-23A0236C305A}">
      <dgm:prSet phldrT="[Text]"/>
      <dgm:spPr/>
      <dgm:t>
        <a:bodyPr/>
        <a:lstStyle/>
        <a:p>
          <a:r>
            <a:rPr lang="en-US"/>
            <a:t>Goals (Regional)</a:t>
          </a:r>
        </a:p>
      </dgm:t>
    </dgm:pt>
    <dgm:pt modelId="{6F61C04E-622A-475E-9D8E-EFD4AD639737}" type="parTrans" cxnId="{AFD5C72D-FCA7-44B9-9C47-2EB305B2AAF2}">
      <dgm:prSet/>
      <dgm:spPr/>
      <dgm:t>
        <a:bodyPr/>
        <a:lstStyle/>
        <a:p>
          <a:endParaRPr lang="en-US"/>
        </a:p>
      </dgm:t>
    </dgm:pt>
    <dgm:pt modelId="{17E352E7-7677-4D81-BADE-CEBD11AB9E3D}" type="sibTrans" cxnId="{AFD5C72D-FCA7-44B9-9C47-2EB305B2AAF2}">
      <dgm:prSet/>
      <dgm:spPr/>
      <dgm:t>
        <a:bodyPr/>
        <a:lstStyle/>
        <a:p>
          <a:endParaRPr lang="en-US"/>
        </a:p>
      </dgm:t>
    </dgm:pt>
    <dgm:pt modelId="{3EC9A220-6403-4BC3-A71A-C2B46240BE85}">
      <dgm:prSet phldrT="[Text]"/>
      <dgm:spPr/>
      <dgm:t>
        <a:bodyPr/>
        <a:lstStyle/>
        <a:p>
          <a:r>
            <a:rPr lang="en-US"/>
            <a:t>Priorities (ARRT)</a:t>
          </a:r>
        </a:p>
      </dgm:t>
    </dgm:pt>
    <dgm:pt modelId="{58D8E982-1BA6-4176-BEBA-FF85307B69C6}" type="parTrans" cxnId="{8BD400A2-37F3-43E1-B0FB-17C1509969B5}">
      <dgm:prSet/>
      <dgm:spPr/>
      <dgm:t>
        <a:bodyPr/>
        <a:lstStyle/>
        <a:p>
          <a:endParaRPr lang="en-US"/>
        </a:p>
      </dgm:t>
    </dgm:pt>
    <dgm:pt modelId="{C51FECA7-7579-4DEF-A8F4-67F09392AC6C}" type="sibTrans" cxnId="{8BD400A2-37F3-43E1-B0FB-17C1509969B5}">
      <dgm:prSet/>
      <dgm:spPr/>
      <dgm:t>
        <a:bodyPr/>
        <a:lstStyle/>
        <a:p>
          <a:endParaRPr lang="en-US"/>
        </a:p>
      </dgm:t>
    </dgm:pt>
    <dgm:pt modelId="{524FCC1F-D705-4794-AFCB-A9FF63C437BC}">
      <dgm:prSet phldrT="[Text]"/>
      <dgm:spPr/>
      <dgm:t>
        <a:bodyPr/>
        <a:lstStyle/>
        <a:p>
          <a:r>
            <a:rPr lang="en-US"/>
            <a:t>Tasks (Work Groups)</a:t>
          </a:r>
        </a:p>
      </dgm:t>
    </dgm:pt>
    <dgm:pt modelId="{088C0C74-1624-4C6D-A272-A3B34EC33051}" type="parTrans" cxnId="{4D3CFE9D-7308-4BF2-B6E9-2172D036C2A5}">
      <dgm:prSet/>
      <dgm:spPr/>
      <dgm:t>
        <a:bodyPr/>
        <a:lstStyle/>
        <a:p>
          <a:endParaRPr lang="en-US"/>
        </a:p>
      </dgm:t>
    </dgm:pt>
    <dgm:pt modelId="{ECD08F5C-4DD0-46A9-926B-F7671F99188B}" type="sibTrans" cxnId="{4D3CFE9D-7308-4BF2-B6E9-2172D036C2A5}">
      <dgm:prSet/>
      <dgm:spPr/>
      <dgm:t>
        <a:bodyPr/>
        <a:lstStyle/>
        <a:p>
          <a:endParaRPr lang="en-US"/>
        </a:p>
      </dgm:t>
    </dgm:pt>
    <dgm:pt modelId="{DAB97BDA-297F-433B-AFE5-C65A308553A0}" type="pres">
      <dgm:prSet presAssocID="{5012905C-59A0-476D-81E7-CF2A798B7437}" presName="Name0" presStyleCnt="0">
        <dgm:presLayoutVars>
          <dgm:dir/>
          <dgm:animLvl val="lvl"/>
          <dgm:resizeHandles val="exact"/>
        </dgm:presLayoutVars>
      </dgm:prSet>
      <dgm:spPr/>
    </dgm:pt>
    <dgm:pt modelId="{BF9BB825-7677-4D92-8DCF-297DF74DCDB6}" type="pres">
      <dgm:prSet presAssocID="{EE446406-AC01-497A-8527-40A9BF4404F7}" presName="Name8" presStyleCnt="0"/>
      <dgm:spPr/>
    </dgm:pt>
    <dgm:pt modelId="{1AD9CB19-4522-4D55-B9E4-6B3268C7F4C1}" type="pres">
      <dgm:prSet presAssocID="{EE446406-AC01-497A-8527-40A9BF4404F7}" presName="level" presStyleLbl="node1" presStyleIdx="0" presStyleCnt="4" custScaleX="94548">
        <dgm:presLayoutVars>
          <dgm:chMax val="1"/>
          <dgm:bulletEnabled val="1"/>
        </dgm:presLayoutVars>
      </dgm:prSet>
      <dgm:spPr/>
    </dgm:pt>
    <dgm:pt modelId="{6EA16B64-0672-48DA-86EB-CE63743704EB}" type="pres">
      <dgm:prSet presAssocID="{EE446406-AC01-497A-8527-40A9BF4404F7}" presName="levelTx" presStyleLbl="revTx" presStyleIdx="0" presStyleCnt="0">
        <dgm:presLayoutVars>
          <dgm:chMax val="1"/>
          <dgm:bulletEnabled val="1"/>
        </dgm:presLayoutVars>
      </dgm:prSet>
      <dgm:spPr/>
    </dgm:pt>
    <dgm:pt modelId="{EEFF5F6B-0EEF-4501-88E7-4AC31B21BAD5}" type="pres">
      <dgm:prSet presAssocID="{0B0E4FD4-6F8E-4938-9A01-23A0236C305A}" presName="Name8" presStyleCnt="0"/>
      <dgm:spPr/>
    </dgm:pt>
    <dgm:pt modelId="{BD4D3D6D-EFED-4BC4-8671-40BB93FF56DC}" type="pres">
      <dgm:prSet presAssocID="{0B0E4FD4-6F8E-4938-9A01-23A0236C305A}" presName="level" presStyleLbl="node1" presStyleIdx="1" presStyleCnt="4">
        <dgm:presLayoutVars>
          <dgm:chMax val="1"/>
          <dgm:bulletEnabled val="1"/>
        </dgm:presLayoutVars>
      </dgm:prSet>
      <dgm:spPr/>
    </dgm:pt>
    <dgm:pt modelId="{196365E8-AA23-4864-B08C-F3D9EB1C691D}" type="pres">
      <dgm:prSet presAssocID="{0B0E4FD4-6F8E-4938-9A01-23A0236C305A}" presName="levelTx" presStyleLbl="revTx" presStyleIdx="0" presStyleCnt="0">
        <dgm:presLayoutVars>
          <dgm:chMax val="1"/>
          <dgm:bulletEnabled val="1"/>
        </dgm:presLayoutVars>
      </dgm:prSet>
      <dgm:spPr/>
    </dgm:pt>
    <dgm:pt modelId="{C0CFD723-E47F-4C81-A15E-B1861A46A29C}" type="pres">
      <dgm:prSet presAssocID="{3EC9A220-6403-4BC3-A71A-C2B46240BE85}" presName="Name8" presStyleCnt="0"/>
      <dgm:spPr/>
    </dgm:pt>
    <dgm:pt modelId="{0C0484AE-1715-4B16-9DAA-F8FB50D6F0A1}" type="pres">
      <dgm:prSet presAssocID="{3EC9A220-6403-4BC3-A71A-C2B46240BE85}" presName="level" presStyleLbl="node1" presStyleIdx="2" presStyleCnt="4">
        <dgm:presLayoutVars>
          <dgm:chMax val="1"/>
          <dgm:bulletEnabled val="1"/>
        </dgm:presLayoutVars>
      </dgm:prSet>
      <dgm:spPr/>
    </dgm:pt>
    <dgm:pt modelId="{FBE14819-EBE5-4C56-BDD9-C139AC90849B}" type="pres">
      <dgm:prSet presAssocID="{3EC9A220-6403-4BC3-A71A-C2B46240BE85}" presName="levelTx" presStyleLbl="revTx" presStyleIdx="0" presStyleCnt="0">
        <dgm:presLayoutVars>
          <dgm:chMax val="1"/>
          <dgm:bulletEnabled val="1"/>
        </dgm:presLayoutVars>
      </dgm:prSet>
      <dgm:spPr/>
    </dgm:pt>
    <dgm:pt modelId="{222BB856-7CF2-48F6-BB85-AD212C06EEB0}" type="pres">
      <dgm:prSet presAssocID="{524FCC1F-D705-4794-AFCB-A9FF63C437BC}" presName="Name8" presStyleCnt="0"/>
      <dgm:spPr/>
    </dgm:pt>
    <dgm:pt modelId="{FFB8EBCD-5312-46DF-9411-26474610BB29}" type="pres">
      <dgm:prSet presAssocID="{524FCC1F-D705-4794-AFCB-A9FF63C437BC}" presName="level" presStyleLbl="node1" presStyleIdx="3" presStyleCnt="4">
        <dgm:presLayoutVars>
          <dgm:chMax val="1"/>
          <dgm:bulletEnabled val="1"/>
        </dgm:presLayoutVars>
      </dgm:prSet>
      <dgm:spPr/>
    </dgm:pt>
    <dgm:pt modelId="{4B6B1AED-E20D-4A5B-A383-A974CAA23E1D}" type="pres">
      <dgm:prSet presAssocID="{524FCC1F-D705-4794-AFCB-A9FF63C437BC}" presName="levelTx" presStyleLbl="revTx" presStyleIdx="0" presStyleCnt="0">
        <dgm:presLayoutVars>
          <dgm:chMax val="1"/>
          <dgm:bulletEnabled val="1"/>
        </dgm:presLayoutVars>
      </dgm:prSet>
      <dgm:spPr/>
    </dgm:pt>
  </dgm:ptLst>
  <dgm:cxnLst>
    <dgm:cxn modelId="{7FA9A944-3F24-4757-89D7-B0A113A275F4}" type="presOf" srcId="{3EC9A220-6403-4BC3-A71A-C2B46240BE85}" destId="{0C0484AE-1715-4B16-9DAA-F8FB50D6F0A1}" srcOrd="0" destOrd="0" presId="urn:microsoft.com/office/officeart/2005/8/layout/pyramid1"/>
    <dgm:cxn modelId="{EC7D8DA7-E3C8-4A50-8040-54E3833B27CB}" type="presOf" srcId="{524FCC1F-D705-4794-AFCB-A9FF63C437BC}" destId="{4B6B1AED-E20D-4A5B-A383-A974CAA23E1D}" srcOrd="1" destOrd="0" presId="urn:microsoft.com/office/officeart/2005/8/layout/pyramid1"/>
    <dgm:cxn modelId="{8BD400A2-37F3-43E1-B0FB-17C1509969B5}" srcId="{5012905C-59A0-476D-81E7-CF2A798B7437}" destId="{3EC9A220-6403-4BC3-A71A-C2B46240BE85}" srcOrd="2" destOrd="0" parTransId="{58D8E982-1BA6-4176-BEBA-FF85307B69C6}" sibTransId="{C51FECA7-7579-4DEF-A8F4-67F09392AC6C}"/>
    <dgm:cxn modelId="{8C49CE0F-8313-4BA2-A8CD-4D9A62E76ED1}" srcId="{5012905C-59A0-476D-81E7-CF2A798B7437}" destId="{EE446406-AC01-497A-8527-40A9BF4404F7}" srcOrd="0" destOrd="0" parTransId="{944BF44F-0DF1-48F3-A755-C6F61423DB5E}" sibTransId="{8172221B-2F12-40BA-A473-9DA4B39A849D}"/>
    <dgm:cxn modelId="{9C100C87-1A98-433D-ABF9-07D1AA6E0383}" type="presOf" srcId="{0B0E4FD4-6F8E-4938-9A01-23A0236C305A}" destId="{196365E8-AA23-4864-B08C-F3D9EB1C691D}" srcOrd="1" destOrd="0" presId="urn:microsoft.com/office/officeart/2005/8/layout/pyramid1"/>
    <dgm:cxn modelId="{7E7933A4-1235-41E4-BFC8-27367AE9114F}" type="presOf" srcId="{EE446406-AC01-497A-8527-40A9BF4404F7}" destId="{6EA16B64-0672-48DA-86EB-CE63743704EB}" srcOrd="1" destOrd="0" presId="urn:microsoft.com/office/officeart/2005/8/layout/pyramid1"/>
    <dgm:cxn modelId="{8F0AF732-5FA4-4EB0-83C5-DEDB0996D9E5}" type="presOf" srcId="{524FCC1F-D705-4794-AFCB-A9FF63C437BC}" destId="{FFB8EBCD-5312-46DF-9411-26474610BB29}" srcOrd="0" destOrd="0" presId="urn:microsoft.com/office/officeart/2005/8/layout/pyramid1"/>
    <dgm:cxn modelId="{1F25F951-3C8D-4920-903A-8F84AE2331B4}" type="presOf" srcId="{5012905C-59A0-476D-81E7-CF2A798B7437}" destId="{DAB97BDA-297F-433B-AFE5-C65A308553A0}" srcOrd="0" destOrd="0" presId="urn:microsoft.com/office/officeart/2005/8/layout/pyramid1"/>
    <dgm:cxn modelId="{4D3CFE9D-7308-4BF2-B6E9-2172D036C2A5}" srcId="{5012905C-59A0-476D-81E7-CF2A798B7437}" destId="{524FCC1F-D705-4794-AFCB-A9FF63C437BC}" srcOrd="3" destOrd="0" parTransId="{088C0C74-1624-4C6D-A272-A3B34EC33051}" sibTransId="{ECD08F5C-4DD0-46A9-926B-F7671F99188B}"/>
    <dgm:cxn modelId="{AFD5C72D-FCA7-44B9-9C47-2EB305B2AAF2}" srcId="{5012905C-59A0-476D-81E7-CF2A798B7437}" destId="{0B0E4FD4-6F8E-4938-9A01-23A0236C305A}" srcOrd="1" destOrd="0" parTransId="{6F61C04E-622A-475E-9D8E-EFD4AD639737}" sibTransId="{17E352E7-7677-4D81-BADE-CEBD11AB9E3D}"/>
    <dgm:cxn modelId="{BBC662CF-7DF8-4D4E-A196-F43FAF34D46D}" type="presOf" srcId="{3EC9A220-6403-4BC3-A71A-C2B46240BE85}" destId="{FBE14819-EBE5-4C56-BDD9-C139AC90849B}" srcOrd="1" destOrd="0" presId="urn:microsoft.com/office/officeart/2005/8/layout/pyramid1"/>
    <dgm:cxn modelId="{FDEB1150-0D6A-41E8-AF3E-62FEAB1FFB7C}" type="presOf" srcId="{0B0E4FD4-6F8E-4938-9A01-23A0236C305A}" destId="{BD4D3D6D-EFED-4BC4-8671-40BB93FF56DC}" srcOrd="0" destOrd="0" presId="urn:microsoft.com/office/officeart/2005/8/layout/pyramid1"/>
    <dgm:cxn modelId="{6EF61C25-1052-4436-8020-B34D8B287A4B}" type="presOf" srcId="{EE446406-AC01-497A-8527-40A9BF4404F7}" destId="{1AD9CB19-4522-4D55-B9E4-6B3268C7F4C1}" srcOrd="0" destOrd="0" presId="urn:microsoft.com/office/officeart/2005/8/layout/pyramid1"/>
    <dgm:cxn modelId="{B29BE2E3-0318-4A79-A049-59940A78C28E}" type="presParOf" srcId="{DAB97BDA-297F-433B-AFE5-C65A308553A0}" destId="{BF9BB825-7677-4D92-8DCF-297DF74DCDB6}" srcOrd="0" destOrd="0" presId="urn:microsoft.com/office/officeart/2005/8/layout/pyramid1"/>
    <dgm:cxn modelId="{DD9B8D79-D585-41F6-8C27-B42F4110A301}" type="presParOf" srcId="{BF9BB825-7677-4D92-8DCF-297DF74DCDB6}" destId="{1AD9CB19-4522-4D55-B9E4-6B3268C7F4C1}" srcOrd="0" destOrd="0" presId="urn:microsoft.com/office/officeart/2005/8/layout/pyramid1"/>
    <dgm:cxn modelId="{3FCC2751-45E3-45EB-B3BD-8A976BBAEDB8}" type="presParOf" srcId="{BF9BB825-7677-4D92-8DCF-297DF74DCDB6}" destId="{6EA16B64-0672-48DA-86EB-CE63743704EB}" srcOrd="1" destOrd="0" presId="urn:microsoft.com/office/officeart/2005/8/layout/pyramid1"/>
    <dgm:cxn modelId="{1523F927-FA95-4F43-9111-EE525CEEA6CD}" type="presParOf" srcId="{DAB97BDA-297F-433B-AFE5-C65A308553A0}" destId="{EEFF5F6B-0EEF-4501-88E7-4AC31B21BAD5}" srcOrd="1" destOrd="0" presId="urn:microsoft.com/office/officeart/2005/8/layout/pyramid1"/>
    <dgm:cxn modelId="{C5148012-A922-436F-86D6-03D6FDE21AE0}" type="presParOf" srcId="{EEFF5F6B-0EEF-4501-88E7-4AC31B21BAD5}" destId="{BD4D3D6D-EFED-4BC4-8671-40BB93FF56DC}" srcOrd="0" destOrd="0" presId="urn:microsoft.com/office/officeart/2005/8/layout/pyramid1"/>
    <dgm:cxn modelId="{06BBB4FC-1676-4002-B2A4-E02EEF55A440}" type="presParOf" srcId="{EEFF5F6B-0EEF-4501-88E7-4AC31B21BAD5}" destId="{196365E8-AA23-4864-B08C-F3D9EB1C691D}" srcOrd="1" destOrd="0" presId="urn:microsoft.com/office/officeart/2005/8/layout/pyramid1"/>
    <dgm:cxn modelId="{DFD04CF3-B38A-486F-A9E9-7BBE4F635C4A}" type="presParOf" srcId="{DAB97BDA-297F-433B-AFE5-C65A308553A0}" destId="{C0CFD723-E47F-4C81-A15E-B1861A46A29C}" srcOrd="2" destOrd="0" presId="urn:microsoft.com/office/officeart/2005/8/layout/pyramid1"/>
    <dgm:cxn modelId="{769B41F2-3058-4A94-ABDC-91E19C4F284E}" type="presParOf" srcId="{C0CFD723-E47F-4C81-A15E-B1861A46A29C}" destId="{0C0484AE-1715-4B16-9DAA-F8FB50D6F0A1}" srcOrd="0" destOrd="0" presId="urn:microsoft.com/office/officeart/2005/8/layout/pyramid1"/>
    <dgm:cxn modelId="{7871EDE1-9C85-400D-A550-3312C32BAF9C}" type="presParOf" srcId="{C0CFD723-E47F-4C81-A15E-B1861A46A29C}" destId="{FBE14819-EBE5-4C56-BDD9-C139AC90849B}" srcOrd="1" destOrd="0" presId="urn:microsoft.com/office/officeart/2005/8/layout/pyramid1"/>
    <dgm:cxn modelId="{88EF3B40-9FB4-458D-A40C-9C40DE9729D2}" type="presParOf" srcId="{DAB97BDA-297F-433B-AFE5-C65A308553A0}" destId="{222BB856-7CF2-48F6-BB85-AD212C06EEB0}" srcOrd="3" destOrd="0" presId="urn:microsoft.com/office/officeart/2005/8/layout/pyramid1"/>
    <dgm:cxn modelId="{8E547410-7C28-4D1E-96F0-F2A80141AAA9}" type="presParOf" srcId="{222BB856-7CF2-48F6-BB85-AD212C06EEB0}" destId="{FFB8EBCD-5312-46DF-9411-26474610BB29}" srcOrd="0" destOrd="0" presId="urn:microsoft.com/office/officeart/2005/8/layout/pyramid1"/>
    <dgm:cxn modelId="{756A3EA6-B919-410C-AB74-9DFA33447788}" type="presParOf" srcId="{222BB856-7CF2-48F6-BB85-AD212C06EEB0}" destId="{4B6B1AED-E20D-4A5B-A383-A974CAA23E1D}"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D9CB19-4522-4D55-B9E4-6B3268C7F4C1}">
      <dsp:nvSpPr>
        <dsp:cNvPr id="0" name=""/>
        <dsp:cNvSpPr/>
      </dsp:nvSpPr>
      <dsp:spPr>
        <a:xfrm>
          <a:off x="1364891" y="0"/>
          <a:ext cx="844962" cy="264425"/>
        </a:xfrm>
        <a:prstGeom prst="trapezoid">
          <a:avLst>
            <a:gd name="adj" fmla="val 16898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Responsibilities (NCP-based)</a:t>
          </a:r>
        </a:p>
      </dsp:txBody>
      <dsp:txXfrm>
        <a:off x="1364891" y="0"/>
        <a:ext cx="844962" cy="264425"/>
      </dsp:txXfrm>
    </dsp:sp>
    <dsp:sp modelId="{BD4D3D6D-EFED-4BC4-8671-40BB93FF56DC}">
      <dsp:nvSpPr>
        <dsp:cNvPr id="0" name=""/>
        <dsp:cNvSpPr/>
      </dsp:nvSpPr>
      <dsp:spPr>
        <a:xfrm>
          <a:off x="893686" y="264425"/>
          <a:ext cx="1787373" cy="264425"/>
        </a:xfrm>
        <a:prstGeom prst="trapezoid">
          <a:avLst>
            <a:gd name="adj" fmla="val 16898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Goals (Regional)</a:t>
          </a:r>
        </a:p>
      </dsp:txBody>
      <dsp:txXfrm>
        <a:off x="1206476" y="264425"/>
        <a:ext cx="1161792" cy="264425"/>
      </dsp:txXfrm>
    </dsp:sp>
    <dsp:sp modelId="{0C0484AE-1715-4B16-9DAA-F8FB50D6F0A1}">
      <dsp:nvSpPr>
        <dsp:cNvPr id="0" name=""/>
        <dsp:cNvSpPr/>
      </dsp:nvSpPr>
      <dsp:spPr>
        <a:xfrm>
          <a:off x="446843" y="528850"/>
          <a:ext cx="2681059" cy="264425"/>
        </a:xfrm>
        <a:prstGeom prst="trapezoid">
          <a:avLst>
            <a:gd name="adj" fmla="val 16898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Priorities (ARRT)</a:t>
          </a:r>
        </a:p>
      </dsp:txBody>
      <dsp:txXfrm>
        <a:off x="916028" y="528850"/>
        <a:ext cx="1742688" cy="264425"/>
      </dsp:txXfrm>
    </dsp:sp>
    <dsp:sp modelId="{FFB8EBCD-5312-46DF-9411-26474610BB29}">
      <dsp:nvSpPr>
        <dsp:cNvPr id="0" name=""/>
        <dsp:cNvSpPr/>
      </dsp:nvSpPr>
      <dsp:spPr>
        <a:xfrm>
          <a:off x="0" y="793275"/>
          <a:ext cx="3574746" cy="264425"/>
        </a:xfrm>
        <a:prstGeom prst="trapezoid">
          <a:avLst>
            <a:gd name="adj" fmla="val 16898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Tasks (Work Groups)</a:t>
          </a:r>
        </a:p>
      </dsp:txBody>
      <dsp:txXfrm>
        <a:off x="625580" y="793275"/>
        <a:ext cx="2323584" cy="2644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2E019-5C2B-4E9F-93D3-30529262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 R A F T     Alaska Regional Response Team    D R A F T</vt:lpstr>
    </vt:vector>
  </TitlesOfParts>
  <Company>National Business Center</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     Alaska Regional Response Team    D R A F T</dc:title>
  <dc:creator>dmutter</dc:creator>
  <cp:lastModifiedBy>Knowles, Nicholas</cp:lastModifiedBy>
  <cp:revision>3</cp:revision>
  <cp:lastPrinted>2016-10-18T18:37:00Z</cp:lastPrinted>
  <dcterms:created xsi:type="dcterms:W3CDTF">2018-01-31T00:25:00Z</dcterms:created>
  <dcterms:modified xsi:type="dcterms:W3CDTF">2018-02-21T21:46:00Z</dcterms:modified>
</cp:coreProperties>
</file>